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FCE9" w14:textId="77777777" w:rsidR="003F5410" w:rsidRDefault="61204514" w:rsidP="0D2B5BA5">
      <w:pPr>
        <w:pStyle w:val="Heading2"/>
        <w:shd w:val="clear" w:color="auto" w:fill="FFFFFF" w:themeFill="background1"/>
        <w:spacing w:before="0" w:after="240"/>
        <w:rPr>
          <w:rFonts w:ascii="Source Sans Pro" w:eastAsia="Source Sans Pro" w:hAnsi="Source Sans Pro" w:cs="Source Sans Pro"/>
          <w:b/>
          <w:bCs/>
          <w:color w:val="0F3D32"/>
          <w:sz w:val="56"/>
          <w:szCs w:val="56"/>
        </w:rPr>
      </w:pPr>
      <w:r w:rsidRPr="003F5410">
        <w:rPr>
          <w:rFonts w:ascii="Source Sans Pro" w:eastAsia="Source Sans Pro" w:hAnsi="Source Sans Pro" w:cs="Source Sans Pro"/>
          <w:b/>
          <w:bCs/>
          <w:color w:val="0F3D32"/>
          <w:sz w:val="56"/>
          <w:szCs w:val="56"/>
        </w:rPr>
        <w:t>Outdated guidance</w:t>
      </w:r>
      <w:r w:rsidR="003F5410" w:rsidRPr="003F5410">
        <w:rPr>
          <w:rFonts w:ascii="Source Sans Pro" w:eastAsia="Source Sans Pro" w:hAnsi="Source Sans Pro" w:cs="Source Sans Pro"/>
          <w:b/>
          <w:bCs/>
          <w:color w:val="0F3D32"/>
          <w:sz w:val="56"/>
          <w:szCs w:val="56"/>
        </w:rPr>
        <w:t xml:space="preserve"> – do not use </w:t>
      </w:r>
    </w:p>
    <w:p w14:paraId="624D2DBE" w14:textId="160A39ED" w:rsidR="00400FCA" w:rsidRPr="003F5410" w:rsidRDefault="003F5410" w:rsidP="0D2B5BA5">
      <w:pPr>
        <w:pStyle w:val="Heading2"/>
        <w:shd w:val="clear" w:color="auto" w:fill="FFFFFF" w:themeFill="background1"/>
        <w:spacing w:before="0" w:after="240"/>
        <w:rPr>
          <w:rFonts w:ascii="Source Sans Pro" w:eastAsia="Source Sans Pro" w:hAnsi="Source Sans Pro" w:cs="Source Sans Pro"/>
          <w:b/>
          <w:bCs/>
          <w:color w:val="0F3D32"/>
          <w:sz w:val="56"/>
          <w:szCs w:val="56"/>
        </w:rPr>
      </w:pPr>
      <w:r>
        <w:rPr>
          <w:rFonts w:ascii="Source Sans Pro" w:eastAsia="Source Sans Pro" w:hAnsi="Source Sans Pro" w:cs="Source Sans Pro"/>
          <w:b/>
          <w:bCs/>
          <w:color w:val="0F3D32"/>
          <w:sz w:val="30"/>
          <w:szCs w:val="30"/>
        </w:rPr>
        <w:t>FOR reprocessing r</w:t>
      </w:r>
      <w:r w:rsidR="61204514" w:rsidRPr="0D2B5BA5">
        <w:rPr>
          <w:rFonts w:ascii="Source Sans Pro" w:eastAsia="Source Sans Pro" w:hAnsi="Source Sans Pro" w:cs="Source Sans Pro"/>
          <w:b/>
          <w:bCs/>
          <w:color w:val="0F3D32"/>
          <w:sz w:val="30"/>
          <w:szCs w:val="30"/>
        </w:rPr>
        <w:t>eusable medical devices (RMDs)</w:t>
      </w:r>
    </w:p>
    <w:p w14:paraId="52657E1A" w14:textId="51D499FB" w:rsidR="00400FCA" w:rsidRDefault="61204514" w:rsidP="03CC7CC7">
      <w:pPr>
        <w:pStyle w:val="Heading2"/>
        <w:shd w:val="clear" w:color="auto" w:fill="FFFFFF" w:themeFill="background1"/>
        <w:spacing w:before="0" w:after="240"/>
      </w:pPr>
      <w:r w:rsidRPr="03CC7CC7">
        <w:rPr>
          <w:rFonts w:ascii="Source Sans Pro" w:eastAsia="Source Sans Pro" w:hAnsi="Source Sans Pro" w:cs="Source Sans Pro"/>
          <w:b/>
          <w:bCs/>
          <w:color w:val="0F3D32"/>
          <w:sz w:val="30"/>
          <w:szCs w:val="30"/>
        </w:rPr>
        <w:t>AS/NZS</w:t>
      </w:r>
      <w:r w:rsidR="003F5410" w:rsidRPr="03CC7CC7">
        <w:rPr>
          <w:rFonts w:ascii="Source Sans Pro" w:eastAsia="Source Sans Pro" w:hAnsi="Source Sans Pro" w:cs="Source Sans Pro"/>
          <w:b/>
          <w:bCs/>
          <w:color w:val="0F3D32"/>
          <w:sz w:val="30"/>
          <w:szCs w:val="30"/>
        </w:rPr>
        <w:t>4815:2006 has</w:t>
      </w:r>
      <w:r w:rsidRPr="03CC7CC7">
        <w:rPr>
          <w:rFonts w:ascii="Source Sans Pro" w:eastAsia="Source Sans Pro" w:hAnsi="Source Sans Pro" w:cs="Source Sans Pro"/>
          <w:b/>
          <w:bCs/>
          <w:color w:val="0F3D32"/>
          <w:sz w:val="30"/>
          <w:szCs w:val="30"/>
        </w:rPr>
        <w:t xml:space="preserve"> </w:t>
      </w:r>
      <w:r w:rsidR="003F5410">
        <w:rPr>
          <w:rFonts w:ascii="Source Sans Pro" w:eastAsia="Source Sans Pro" w:hAnsi="Source Sans Pro" w:cs="Source Sans Pro"/>
          <w:b/>
          <w:bCs/>
          <w:color w:val="0F3D32"/>
          <w:sz w:val="30"/>
          <w:szCs w:val="30"/>
        </w:rPr>
        <w:t xml:space="preserve">now </w:t>
      </w:r>
      <w:r w:rsidRPr="03CC7CC7">
        <w:rPr>
          <w:rFonts w:ascii="Source Sans Pro" w:eastAsia="Source Sans Pro" w:hAnsi="Source Sans Pro" w:cs="Source Sans Pro"/>
          <w:b/>
          <w:bCs/>
          <w:color w:val="0F3D32"/>
          <w:sz w:val="30"/>
          <w:szCs w:val="30"/>
        </w:rPr>
        <w:t>been superseded by AS 5369:2023.</w:t>
      </w:r>
    </w:p>
    <w:p w14:paraId="3CEE0828" w14:textId="591E8BF4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If a practice is reprocessing reusable medical and surgical instruments and equipment, RMDs, </w:t>
      </w:r>
      <w:hyperlink r:id="rId11">
        <w:r w:rsidRPr="03CC7CC7">
          <w:rPr>
            <w:rStyle w:val="Hyperlink"/>
            <w:rFonts w:ascii="Source Sans Pro" w:eastAsia="Source Sans Pro" w:hAnsi="Source Sans Pro" w:cs="Source Sans Pro"/>
            <w:color w:val="0F3D32"/>
            <w:sz w:val="30"/>
            <w:szCs w:val="30"/>
          </w:rPr>
          <w:t>AS/NZS4815:2006</w:t>
        </w:r>
      </w:hyperlink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 sets the standard for cleaning, disinfecting and sterilizing reusable medical and surgical instruments and equipment, and the maintenance of associated environments</w:t>
      </w:r>
    </w:p>
    <w:p w14:paraId="4913497A" w14:textId="6FC9DDE5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This criterion captures the main requirements of AS/NZS 4815:2006 in both the evidence requirements and guidance information.</w:t>
      </w:r>
    </w:p>
    <w:p w14:paraId="2D5BFA98" w14:textId="7B531B08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If practices require more in depth information on reprocessing reusable medical and surgical instruments and equipment, </w:t>
      </w:r>
      <w:hyperlink r:id="rId12">
        <w:r w:rsidRPr="03CC7CC7">
          <w:rPr>
            <w:rStyle w:val="Hyperlink"/>
            <w:rFonts w:ascii="Source Sans Pro" w:eastAsia="Source Sans Pro" w:hAnsi="Source Sans Pro" w:cs="Source Sans Pro"/>
            <w:color w:val="0F3D32"/>
            <w:sz w:val="30"/>
            <w:szCs w:val="30"/>
          </w:rPr>
          <w:t>AS/NZS 4815:2006 can be purchased.</w:t>
        </w:r>
      </w:hyperlink>
    </w:p>
    <w:p w14:paraId="76EDF121" w14:textId="35917E6B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The standard for reprocessing RMDs requires: Using the correct soaking solution/medium for instruments:</w:t>
      </w:r>
    </w:p>
    <w:p w14:paraId="7998973A" w14:textId="74A8BE92" w:rsidR="00400FCA" w:rsidRDefault="61204514" w:rsidP="03CC7CC7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validation of the sterilization process using ‘indicators’</w:t>
      </w:r>
    </w:p>
    <w:p w14:paraId="41831981" w14:textId="6C624F4B" w:rsidR="00400FCA" w:rsidRDefault="61204514" w:rsidP="03CC7CC7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cleaning and disinfecting protocols</w:t>
      </w:r>
    </w:p>
    <w:p w14:paraId="6CE2525D" w14:textId="3A1D78A0" w:rsidR="00400FCA" w:rsidRDefault="61204514" w:rsidP="03CC7CC7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planning the work area layout and flow to prevent contamination.</w:t>
      </w:r>
    </w:p>
    <w:p w14:paraId="3FB64E7D" w14:textId="778E358F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Team members responsible for cleaning, disinfecting,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sterilising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, storing, and distributing items, need to be trained to ensure they can correctly perform these tasks.</w:t>
      </w:r>
    </w:p>
    <w:p w14:paraId="4BBC4D66" w14:textId="604C4F1C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lastRenderedPageBreak/>
        <w:t xml:space="preserve">Validation of the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steriliser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is important. The practice will need to demonstrate how the effectiveness of each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sterilisation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cycle is monitored, for example, printouts of every cycle, chemical indicator for every load or data logged directly to the computer.</w:t>
      </w:r>
    </w:p>
    <w:p w14:paraId="5C48FD5A" w14:textId="5B83E561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Calibration on site must be done (and documented):</w:t>
      </w:r>
    </w:p>
    <w:p w14:paraId="6E4FEF04" w14:textId="12D2094C" w:rsidR="00400FCA" w:rsidRDefault="61204514" w:rsidP="03CC7CC7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when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steriliser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is first installed</w:t>
      </w:r>
    </w:p>
    <w:p w14:paraId="4D65F391" w14:textId="2B3D6268" w:rsidR="00400FCA" w:rsidRDefault="61204514" w:rsidP="03CC7CC7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annually</w:t>
      </w:r>
    </w:p>
    <w:p w14:paraId="12C334D1" w14:textId="1C0C5269" w:rsidR="00400FCA" w:rsidRDefault="61204514" w:rsidP="03CC7CC7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when serviced or repaired.</w:t>
      </w:r>
    </w:p>
    <w:p w14:paraId="2FA5D7DB" w14:textId="13024E97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For the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steriliser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, the practice needs a record of annual and current (within the last 12 months):</w:t>
      </w:r>
    </w:p>
    <w:p w14:paraId="5AF35075" w14:textId="20FDD13F" w:rsidR="00400FCA" w:rsidRDefault="61204514" w:rsidP="03CC7CC7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servicing</w:t>
      </w:r>
    </w:p>
    <w:p w14:paraId="42270920" w14:textId="6A94D7BD" w:rsidR="00400FCA" w:rsidRDefault="61204514" w:rsidP="03CC7CC7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calibration</w:t>
      </w:r>
    </w:p>
    <w:p w14:paraId="1FFA5992" w14:textId="651B1722" w:rsidR="00400FCA" w:rsidRDefault="61204514" w:rsidP="03CC7CC7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validation.</w:t>
      </w:r>
    </w:p>
    <w:p w14:paraId="69E5088C" w14:textId="01DFB638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The practice will also need to provide records if the practice uses an off-site service.</w:t>
      </w:r>
    </w:p>
    <w:p w14:paraId="0C37BBE4" w14:textId="117524FA" w:rsidR="00400FCA" w:rsidRDefault="61204514" w:rsidP="03CC7CC7">
      <w:pPr>
        <w:shd w:val="clear" w:color="auto" w:fill="FFFFFF" w:themeFill="background1"/>
        <w:spacing w:after="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AS/NZS 4815:2006 requires that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sterilisation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records must be kept for 12 months showing the time and date when each article was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sterilised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; and the length of time that the article was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sterilised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and the temperature and pressure levels of the autoclave.</w:t>
      </w:r>
    </w:p>
    <w:p w14:paraId="1C0F5A3B" w14:textId="3E1CE522" w:rsidR="00400FCA" w:rsidRDefault="61204514" w:rsidP="03CC7CC7">
      <w:pPr>
        <w:pStyle w:val="Heading2"/>
        <w:shd w:val="clear" w:color="auto" w:fill="FFFFFF" w:themeFill="background1"/>
        <w:spacing w:before="0" w:after="240"/>
      </w:pPr>
      <w:r w:rsidRPr="03CC7CC7">
        <w:rPr>
          <w:rFonts w:ascii="Source Sans Pro" w:eastAsia="Source Sans Pro" w:hAnsi="Source Sans Pro" w:cs="Source Sans Pro"/>
          <w:b/>
          <w:bCs/>
          <w:color w:val="0F3D32"/>
          <w:sz w:val="30"/>
          <w:szCs w:val="30"/>
        </w:rPr>
        <w:t>Training and induction</w:t>
      </w:r>
    </w:p>
    <w:p w14:paraId="2C70BE55" w14:textId="46FB4A65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The College has not specified training or frequency of training in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favour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of practices identifying which training best fits the scope of their individual practices and aligns with the NZ Standards applied to the indicators.</w:t>
      </w:r>
    </w:p>
    <w:p w14:paraId="42EFC018" w14:textId="3040DA63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For training recommendations, practices can consult the Ministry of Health, their PHO and/or the manufacturer/retailer of the equipment. The College will also accept correctly documented in-house training.</w:t>
      </w:r>
    </w:p>
    <w:p w14:paraId="5CCB00C1" w14:textId="4D01C0E9" w:rsidR="00400FCA" w:rsidRDefault="61204514" w:rsidP="03CC7CC7">
      <w:pPr>
        <w:shd w:val="clear" w:color="auto" w:fill="FFFFFF" w:themeFill="background1"/>
        <w:spacing w:after="240"/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lastRenderedPageBreak/>
        <w:t>Training options:</w:t>
      </w:r>
    </w:p>
    <w:p w14:paraId="10D6B8A6" w14:textId="1DF65AE8" w:rsidR="00400FCA" w:rsidRDefault="61204514" w:rsidP="03CC7CC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Instrument </w:t>
      </w:r>
      <w:proofErr w:type="gram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reprocessing :</w:t>
      </w:r>
      <w:proofErr w:type="gram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An onsite practical workshop on reprocessing instruments /RMDs to the AS 5369:2023 Standard. Email: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brent@</w:t>
      </w:r>
      <w:proofErr w:type="gram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curis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.</w:t>
      </w:r>
      <w:proofErr w:type="gram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co.nz</w:t>
      </w:r>
    </w:p>
    <w:p w14:paraId="4D8EFB37" w14:textId="41869CF4" w:rsidR="00400FCA" w:rsidRDefault="61204514" w:rsidP="03CC7CC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62683B1F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Training on how to safely operate, monitor and calibrate sterilizers/autoclaves provided through a PHO or from the retailer or manufacturer of the </w:t>
      </w:r>
      <w:proofErr w:type="spellStart"/>
      <w:r w:rsidRPr="62683B1F">
        <w:rPr>
          <w:rFonts w:ascii="Source Sans Pro" w:eastAsia="Source Sans Pro" w:hAnsi="Source Sans Pro" w:cs="Source Sans Pro"/>
          <w:color w:val="0F3D32"/>
          <w:sz w:val="30"/>
          <w:szCs w:val="30"/>
        </w:rPr>
        <w:t>steriliser</w:t>
      </w:r>
      <w:proofErr w:type="spellEnd"/>
      <w:r w:rsidRPr="62683B1F">
        <w:rPr>
          <w:rFonts w:ascii="Source Sans Pro" w:eastAsia="Source Sans Pro" w:hAnsi="Source Sans Pro" w:cs="Source Sans Pro"/>
          <w:color w:val="0F3D32"/>
          <w:sz w:val="30"/>
          <w:szCs w:val="30"/>
        </w:rPr>
        <w:t>/autoclave.</w:t>
      </w:r>
    </w:p>
    <w:p w14:paraId="78D3DDE0" w14:textId="433CE678" w:rsidR="00400FCA" w:rsidRDefault="61204514" w:rsidP="03CC7CC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hyperlink r:id="rId13">
        <w:proofErr w:type="spellStart"/>
        <w:r w:rsidRPr="03CC7CC7">
          <w:rPr>
            <w:rStyle w:val="Hyperlink"/>
            <w:rFonts w:ascii="Source Sans Pro" w:eastAsia="Source Sans Pro" w:hAnsi="Source Sans Pro" w:cs="Source Sans Pro"/>
            <w:color w:val="0F3D32"/>
            <w:sz w:val="30"/>
            <w:szCs w:val="30"/>
          </w:rPr>
          <w:t>LearnOnline</w:t>
        </w:r>
        <w:proofErr w:type="spellEnd"/>
      </w:hyperlink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 Infection prevention and control 2021.</w:t>
      </w:r>
    </w:p>
    <w:p w14:paraId="7D2A1A62" w14:textId="08BDE652" w:rsidR="00400FCA" w:rsidRDefault="61204514" w:rsidP="03CC7CC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  <w:u w:val="single"/>
        </w:rPr>
      </w:pP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ACEhub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</w:t>
      </w:r>
      <w:hyperlink r:id="rId14" w:anchor="infection-prevention-control">
        <w:r w:rsidRPr="03CC7CC7">
          <w:rPr>
            <w:rStyle w:val="Hyperlink"/>
            <w:rFonts w:ascii="Source Sans Pro" w:eastAsia="Source Sans Pro" w:hAnsi="Source Sans Pro" w:cs="Source Sans Pro"/>
            <w:color w:val="0F3D32"/>
            <w:sz w:val="30"/>
            <w:szCs w:val="30"/>
          </w:rPr>
          <w:t>infection prevention and control courses</w:t>
        </w:r>
      </w:hyperlink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and </w:t>
      </w:r>
      <w:hyperlink r:id="rId15" w:anchor="sterilisation">
        <w:proofErr w:type="spellStart"/>
        <w:r w:rsidRPr="03CC7CC7">
          <w:rPr>
            <w:rStyle w:val="Hyperlink"/>
            <w:rFonts w:ascii="Source Sans Pro" w:eastAsia="Source Sans Pro" w:hAnsi="Source Sans Pro" w:cs="Source Sans Pro"/>
            <w:color w:val="0F3D32"/>
            <w:sz w:val="30"/>
            <w:szCs w:val="30"/>
          </w:rPr>
          <w:t>sterilisation</w:t>
        </w:r>
        <w:proofErr w:type="spellEnd"/>
        <w:r w:rsidRPr="03CC7CC7">
          <w:rPr>
            <w:rStyle w:val="Hyperlink"/>
            <w:rFonts w:ascii="Source Sans Pro" w:eastAsia="Source Sans Pro" w:hAnsi="Source Sans Pro" w:cs="Source Sans Pro"/>
            <w:color w:val="0F3D32"/>
            <w:sz w:val="30"/>
            <w:szCs w:val="30"/>
          </w:rPr>
          <w:t xml:space="preserve"> courses</w:t>
        </w:r>
      </w:hyperlink>
    </w:p>
    <w:p w14:paraId="002A121B" w14:textId="4A40A3E1" w:rsidR="00400FCA" w:rsidRDefault="61204514" w:rsidP="03CC7CC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An orientation - induction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programme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 xml:space="preserve"> which is role specific and includes infection prevention and control, </w:t>
      </w:r>
      <w:proofErr w:type="spellStart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sterilisation</w:t>
      </w:r>
      <w:proofErr w:type="spellEnd"/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, antimicrobial stewardship and waste management, as applicable.</w:t>
      </w:r>
    </w:p>
    <w:p w14:paraId="4783148C" w14:textId="2E1ECD90" w:rsidR="00400FCA" w:rsidRDefault="61204514" w:rsidP="03CC7CC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F3D32"/>
          <w:sz w:val="30"/>
          <w:szCs w:val="30"/>
        </w:rPr>
      </w:pPr>
      <w:hyperlink r:id="rId16">
        <w:r w:rsidRPr="03CC7CC7">
          <w:rPr>
            <w:rStyle w:val="Hyperlink"/>
            <w:rFonts w:ascii="Source Sans Pro" w:eastAsia="Source Sans Pro" w:hAnsi="Source Sans Pro" w:cs="Source Sans Pro"/>
            <w:color w:val="0F3D32"/>
            <w:sz w:val="30"/>
            <w:szCs w:val="30"/>
          </w:rPr>
          <w:t>MoH Part 5: Infection prevention and antimicrobial stewardship</w:t>
        </w:r>
      </w:hyperlink>
      <w:r w:rsidRPr="03CC7CC7">
        <w:rPr>
          <w:rFonts w:ascii="Source Sans Pro" w:eastAsia="Source Sans Pro" w:hAnsi="Source Sans Pro" w:cs="Source Sans Pro"/>
          <w:color w:val="0F3D32"/>
          <w:sz w:val="30"/>
          <w:szCs w:val="30"/>
        </w:rPr>
        <w:t>.</w:t>
      </w:r>
    </w:p>
    <w:p w14:paraId="2C078E63" w14:textId="468FA47A" w:rsidR="00400FCA" w:rsidRDefault="00400FCA"/>
    <w:sectPr w:rsidR="00400FCA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99A8" w14:textId="77777777" w:rsidR="003F5410" w:rsidRDefault="003F5410" w:rsidP="003F5410">
      <w:pPr>
        <w:spacing w:after="0" w:line="240" w:lineRule="auto"/>
      </w:pPr>
      <w:r>
        <w:separator/>
      </w:r>
    </w:p>
  </w:endnote>
  <w:endnote w:type="continuationSeparator" w:id="0">
    <w:p w14:paraId="3E168CB0" w14:textId="77777777" w:rsidR="003F5410" w:rsidRDefault="003F5410" w:rsidP="003F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203669"/>
      <w:docPartObj>
        <w:docPartGallery w:val="Page Numbers (Bottom of Page)"/>
        <w:docPartUnique/>
      </w:docPartObj>
    </w:sdtPr>
    <w:sdtContent>
      <w:p w14:paraId="7FB46120" w14:textId="28641CE9" w:rsidR="003F5410" w:rsidRDefault="003F54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0444F3F" w14:textId="7F5AD479" w:rsidR="003F5410" w:rsidRDefault="003F5410">
    <w:pPr>
      <w:pStyle w:val="Footer"/>
    </w:pPr>
    <w:r>
      <w:t xml:space="preserve">OUTDATED GUIDANCE- REPLACED IN JUNE </w:t>
    </w:r>
    <w:proofErr w:type="gramStart"/>
    <w:r>
      <w:t>2025  (</w:t>
    </w:r>
    <w:proofErr w:type="gramEnd"/>
    <w:r>
      <w:t>PROVIDED FOR REFERENCE PURPOSES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3103" w14:textId="77777777" w:rsidR="003F5410" w:rsidRDefault="003F5410" w:rsidP="003F5410">
      <w:pPr>
        <w:spacing w:after="0" w:line="240" w:lineRule="auto"/>
      </w:pPr>
      <w:r>
        <w:separator/>
      </w:r>
    </w:p>
  </w:footnote>
  <w:footnote w:type="continuationSeparator" w:id="0">
    <w:p w14:paraId="71A4077F" w14:textId="77777777" w:rsidR="003F5410" w:rsidRDefault="003F5410" w:rsidP="003F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DB44" w14:textId="32DA9339" w:rsidR="003F5410" w:rsidRDefault="003F5410">
    <w:pPr>
      <w:pStyle w:val="Header"/>
    </w:pPr>
    <w:r>
      <w:rPr>
        <w:noProof/>
      </w:rPr>
      <w:pict w14:anchorId="52B633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47876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OUTDAT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B5F5" w14:textId="2D67EA9F" w:rsidR="003F5410" w:rsidRDefault="003F5410">
    <w:pPr>
      <w:pStyle w:val="Header"/>
    </w:pPr>
    <w:r>
      <w:rPr>
        <w:noProof/>
        <w:lang w:eastAsia="en-NZ"/>
      </w:rPr>
      <w:drawing>
        <wp:inline distT="0" distB="0" distL="0" distR="0" wp14:anchorId="5BAEC193" wp14:editId="5A44FCF7">
          <wp:extent cx="2924673" cy="753110"/>
          <wp:effectExtent l="0" t="0" r="9525" b="8890"/>
          <wp:docPr id="34" name="Picture 3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906" cy="78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31B6B3" w14:textId="42ADC47C" w:rsidR="003F5410" w:rsidRDefault="003F5410">
    <w:pPr>
      <w:pStyle w:val="Header"/>
    </w:pPr>
    <w:r>
      <w:rPr>
        <w:noProof/>
      </w:rPr>
      <w:pict w14:anchorId="31F297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47877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OUTDAT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75EA" w14:textId="0A37E947" w:rsidR="003F5410" w:rsidRDefault="003F5410">
    <w:pPr>
      <w:pStyle w:val="Header"/>
    </w:pPr>
    <w:r>
      <w:rPr>
        <w:noProof/>
      </w:rPr>
      <w:pict w14:anchorId="2DA411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47875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OUTDAT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B7F63"/>
    <w:multiLevelType w:val="hybridMultilevel"/>
    <w:tmpl w:val="B2F05270"/>
    <w:lvl w:ilvl="0" w:tplc="E2464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A3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2C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A7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B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0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61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61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0A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108C"/>
    <w:multiLevelType w:val="hybridMultilevel"/>
    <w:tmpl w:val="5BD0B976"/>
    <w:lvl w:ilvl="0" w:tplc="6C4E5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2F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4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01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07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4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A5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E9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ED76"/>
    <w:multiLevelType w:val="hybridMultilevel"/>
    <w:tmpl w:val="F6C2215C"/>
    <w:lvl w:ilvl="0" w:tplc="234A5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88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48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E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28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2D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40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0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C53C9"/>
    <w:multiLevelType w:val="hybridMultilevel"/>
    <w:tmpl w:val="9426FBEE"/>
    <w:lvl w:ilvl="0" w:tplc="7B32C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4E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0D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4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09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E5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6A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C1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A9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84861">
    <w:abstractNumId w:val="1"/>
  </w:num>
  <w:num w:numId="2" w16cid:durableId="392196027">
    <w:abstractNumId w:val="2"/>
  </w:num>
  <w:num w:numId="3" w16cid:durableId="289170784">
    <w:abstractNumId w:val="0"/>
  </w:num>
  <w:num w:numId="4" w16cid:durableId="1052776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2B63A4"/>
    <w:rsid w:val="0022641C"/>
    <w:rsid w:val="003F5410"/>
    <w:rsid w:val="00400FCA"/>
    <w:rsid w:val="0064584C"/>
    <w:rsid w:val="03CC7CC7"/>
    <w:rsid w:val="0D2B5BA5"/>
    <w:rsid w:val="4D2B63A4"/>
    <w:rsid w:val="61204514"/>
    <w:rsid w:val="626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2B63A4"/>
  <w15:chartTrackingRefBased/>
  <w15:docId w15:val="{DF0643DA-B731-48B8-B983-D37F96BC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3CC7CC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3CC7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10"/>
  </w:style>
  <w:style w:type="paragraph" w:styleId="Footer">
    <w:name w:val="footer"/>
    <w:basedOn w:val="Normal"/>
    <w:link w:val="FooterChar"/>
    <w:uiPriority w:val="99"/>
    <w:unhideWhenUsed/>
    <w:rsid w:val="003F5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online.health.nz/totara/catalog/index.php?catalog_fts=infection%20control&amp;orderbykey=score&amp;itemstyle=narrow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tandards.govt.n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/sector-guidance-nga-paerewa-health-and-disability-services-standard-nzs-81342021/part-5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ndards.govt.nz/shop/asnzs-48152006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cehub.co.nz/course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ehub.co.nz/course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Subactivity xmlns="4f9c820c-e7e2-444d-97ee-45f2b3485c1d">Foundation</Subactivity>
    <Activity xmlns="4f9c820c-e7e2-444d-97ee-45f2b3485c1d">Standard</Activity>
    <CategoryName xmlns="4f9c820c-e7e2-444d-97ee-45f2b3485c1d">RMDS and AS5369 2023</CategoryName>
    <FunctionGroup xmlns="4f9c820c-e7e2-444d-97ee-45f2b3485c1d">NA</FunctionGroup>
    <_dlc_DocId xmlns="5e9dfbfb-c6a0-4ef1-b87e-500bb4de7620">VK6TRXQ6PZDQ-1084924081-7320</_dlc_DocId>
    <Function xmlns="4f9c820c-e7e2-444d-97ee-45f2b3485c1d">Practice Standards</Function>
    <AggregationStatus xmlns="4f9c820c-e7e2-444d-97ee-45f2b3485c1d">Normal</AggregationStatus>
    <Case xmlns="4f9c820c-e7e2-444d-97ee-45f2b3485c1d">NA</Case>
    <CategoryValue xmlns="4f9c820c-e7e2-444d-97ee-45f2b3485c1d">advisor documentation</CategoryValue>
    <_dlc_DocIdUrl xmlns="5e9dfbfb-c6a0-4ef1-b87e-500bb4de7620">
      <Url>https://rnzcgp1.sharepoint.com/sites/standard/_layouts/15/DocIdRedir.aspx?ID=VK6TRXQ6PZDQ-1084924081-7320</Url>
      <Description>VK6TRXQ6PZDQ-1084924081-7320</Description>
    </_dlc_DocIdUrl>
    <Level2 xmlns="c91a514c-9034-4fa3-897a-8352025b26ed">NA</Level2>
    <Channel xmlns="c91a514c-9034-4fa3-897a-8352025b26ed">Foundation</Channel>
    <PRAType xmlns="4f9c820c-e7e2-444d-97ee-45f2b3485c1d">Doc</PRAType>
    <Year xmlns="c91a514c-9034-4fa3-897a-8352025b26ed">NA</Year>
    <Team xmlns="c91a514c-9034-4fa3-897a-8352025b26ed">Standard</Team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PRADate2 xmlns="4f9c820c-e7e2-444d-97ee-45f2b3485c1d" xsi:nil="true"/>
    <PRAText1 xmlns="4f9c820c-e7e2-444d-97ee-45f2b3485c1d" xsi:nil="true"/>
    <PRAText4 xmlns="4f9c820c-e7e2-444d-97ee-45f2b3485c1d" xsi:nil="true"/>
    <Level3 xmlns="c91a514c-9034-4fa3-897a-8352025b26ed" xsi:nil="true"/>
    <lcf76f155ced4ddcb4097134ff3c332f xmlns="ca0a19aa-4b2f-45fc-958e-2ab6058f8604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PRADate1 xmlns="4f9c820c-e7e2-444d-97ee-45f2b3485c1d" xsi:nil="true"/>
    <DocumentType xmlns="4f9c820c-e7e2-444d-97ee-45f2b3485c1d" xsi:nil="true"/>
    <PRAText3 xmlns="4f9c820c-e7e2-444d-97ee-45f2b3485c1d" xsi:nil="true"/>
    <TaxCatchAll xmlns="5e9dfbfb-c6a0-4ef1-b87e-500bb4de7620" xsi:nil="true"/>
    <Narrative xmlns="4f9c820c-e7e2-444d-97ee-45f2b3485c1d" xsi:nil="true"/>
    <PRADateTrigger xmlns="4f9c820c-e7e2-444d-97ee-45f2b3485c1d" xsi:nil="true"/>
    <PRAText2 xmlns="4f9c820c-e7e2-444d-97ee-45f2b3485c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E09D5F4CBFC3B46A39A62871BEC823F" ma:contentTypeVersion="127" ma:contentTypeDescription="Create a new document." ma:contentTypeScope="" ma:versionID="a2aeddd9a0e31da9d0d755bd5cb041f6">
  <xsd:schema xmlns:xsd="http://www.w3.org/2001/XMLSchema" xmlns:xs="http://www.w3.org/2001/XMLSchema" xmlns:p="http://schemas.microsoft.com/office/2006/metadata/properties" xmlns:ns2="5e9dfbfb-c6a0-4ef1-b87e-500bb4de7620" xmlns:ns3="4f9c820c-e7e2-444d-97ee-45f2b3485c1d" xmlns:ns4="15ffb055-6eb4-45a1-bc20-bf2ac0d420da" xmlns:ns5="725c79e5-42ce-4aa0-ac78-b6418001f0d2" xmlns:ns6="c91a514c-9034-4fa3-897a-8352025b26ed" xmlns:ns7="ca0a19aa-4b2f-45fc-958e-2ab6058f8604" targetNamespace="http://schemas.microsoft.com/office/2006/metadata/properties" ma:root="true" ma:fieldsID="4c2dd42c88048f28e2b0b10bee4fe7f3" ns2:_="" ns3:_="" ns4:_="" ns5:_="" ns6:_="" ns7:_="">
    <xsd:import namespace="5e9dfbfb-c6a0-4ef1-b87e-500bb4de762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ca0a19aa-4b2f-45fc-958e-2ab6058f8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2:TaxCatchAll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LengthInSecond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dfbfb-c6a0-4ef1-b87e-500bb4de7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1" nillable="true" ma:displayName="Taxonomy Catch All Column" ma:hidden="true" ma:list="{62259b9e-d820-4f5e-8934-a1b28de767db}" ma:internalName="TaxCatchAll" ma:showField="CatchAllData" ma:web="5e9dfbfb-c6a0-4ef1-b87e-500bb4de7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Practice Standar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Standard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Standard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19aa-4b2f-45fc-958e-2ab6058f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07980805-658c-4488-a183-2ab7223f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56707-B7F0-4040-A1B5-E12F46B20848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e9dfbfb-c6a0-4ef1-b87e-500bb4de7620"/>
    <ds:schemaRef ds:uri="c91a514c-9034-4fa3-897a-8352025b26ed"/>
    <ds:schemaRef ds:uri="15ffb055-6eb4-45a1-bc20-bf2ac0d420da"/>
    <ds:schemaRef ds:uri="ca0a19aa-4b2f-45fc-958e-2ab6058f8604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9935494E-51E1-462F-A936-7B157B59C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8B827-FEA6-4558-8216-0FCAB53932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D72A92-6EFE-44CE-87E1-9CA1ABAFB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dfbfb-c6a0-4ef1-b87e-500bb4de762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ca0a19aa-4b2f-45fc-958e-2ab6058f8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66</Lines>
  <Paragraphs>32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Heidi Bubendorfer</cp:lastModifiedBy>
  <cp:revision>2</cp:revision>
  <dcterms:created xsi:type="dcterms:W3CDTF">2025-06-10T04:12:00Z</dcterms:created>
  <dcterms:modified xsi:type="dcterms:W3CDTF">2025-06-10T04:12:00Z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0x0101004E09D5F4CBFC3B46A39A62871BEC823F</vt:lpwstr>
  </property>
  <property fmtid="{D5CDD505-2E9C-101B-9397-08002B2CF9AE}" pid="3" name="_dlc_DocIdItemGuid">
    <vt:lpwstr>9c812332-f55f-478c-8aea-4295661782fb</vt:lpwstr>
  </property>
  <property fmtid="{D5CDD505-2E9C-101B-9397-08002B2CF9AE}" pid="4" name="MediaServiceImageTags">
    <vt:lpwstr/>
  </property>
</Properties>
</file>