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FC43" w14:textId="2CAAF363" w:rsidR="00DD5A43" w:rsidRPr="00DD5A43" w:rsidRDefault="6ABAEACC" w:rsidP="20470477">
      <w:pPr>
        <w:pStyle w:val="Heading1"/>
      </w:pPr>
      <w:r>
        <w:t>Sterilisation monitoring Q&amp;As</w:t>
      </w:r>
    </w:p>
    <w:p w14:paraId="1F78F5D6" w14:textId="02003E0A" w:rsidR="007E0180" w:rsidRPr="007E0180" w:rsidRDefault="6ABAEACC" w:rsidP="20470477">
      <w:pPr>
        <w:spacing w:line="278" w:lineRule="auto"/>
        <w:rPr>
          <w:i/>
          <w:iCs/>
        </w:rPr>
      </w:pPr>
      <w:r w:rsidRPr="20470477">
        <w:rPr>
          <w:i/>
          <w:iCs/>
        </w:rPr>
        <w:t>T</w:t>
      </w:r>
      <w:r w:rsidR="007E0180" w:rsidRPr="20470477">
        <w:rPr>
          <w:i/>
          <w:iCs/>
        </w:rPr>
        <w:t>h</w:t>
      </w:r>
      <w:r w:rsidR="208BD0E3" w:rsidRPr="20470477">
        <w:rPr>
          <w:i/>
          <w:iCs/>
        </w:rPr>
        <w:t>ese</w:t>
      </w:r>
      <w:r w:rsidR="007E0180" w:rsidRPr="20470477">
        <w:rPr>
          <w:i/>
          <w:iCs/>
        </w:rPr>
        <w:t xml:space="preserve"> Q&amp;A</w:t>
      </w:r>
      <w:r w:rsidR="37AED281" w:rsidRPr="20470477">
        <w:rPr>
          <w:i/>
          <w:iCs/>
        </w:rPr>
        <w:t xml:space="preserve">s help </w:t>
      </w:r>
      <w:r w:rsidR="007E0180" w:rsidRPr="20470477">
        <w:rPr>
          <w:i/>
          <w:iCs/>
        </w:rPr>
        <w:t>support team member understanding of sterilisation monitoring requirements. Detailed procedures are outlined in the practice sterilisation and reprocessing policy.</w:t>
      </w:r>
    </w:p>
    <w:p w14:paraId="42564AB7" w14:textId="77777777" w:rsidR="00D44CBD" w:rsidRPr="00D44CBD" w:rsidRDefault="007E0180" w:rsidP="00A33C55">
      <w:pPr>
        <w:pStyle w:val="ListParagraph"/>
        <w:numPr>
          <w:ilvl w:val="0"/>
          <w:numId w:val="10"/>
        </w:numPr>
      </w:pPr>
      <w:r w:rsidRPr="00A33C55">
        <w:rPr>
          <w:b/>
          <w:bCs/>
        </w:rPr>
        <w:t>Why do we use biological indicators?</w:t>
      </w:r>
    </w:p>
    <w:p w14:paraId="2030EA87" w14:textId="1DD2FD90" w:rsidR="007E0180" w:rsidRDefault="007E0180" w:rsidP="00D44CBD">
      <w:pPr>
        <w:pStyle w:val="ListParagraph"/>
      </w:pPr>
      <w:r w:rsidRPr="007E0180">
        <w:t xml:space="preserve">Biological indicators are used as part of sterilisation process monitoring to confirm that the sterilisation cycle </w:t>
      </w:r>
      <w:r w:rsidR="00421DEA" w:rsidRPr="007E0180">
        <w:t>can kill</w:t>
      </w:r>
      <w:r w:rsidRPr="007E0180">
        <w:t xml:space="preserve"> highly resistant microorganisms. They provide the highest level of assurance that the sterilisation process is effective and support safe decision making if a non</w:t>
      </w:r>
      <w:r w:rsidRPr="007E0180">
        <w:noBreakHyphen/>
        <w:t>conformance occurs.</w:t>
      </w:r>
    </w:p>
    <w:p w14:paraId="577CA339" w14:textId="77777777" w:rsidR="00D44CBD" w:rsidRDefault="00D44CBD" w:rsidP="00D44CBD">
      <w:pPr>
        <w:pStyle w:val="ListParagraph"/>
      </w:pPr>
    </w:p>
    <w:p w14:paraId="71671BA4" w14:textId="77777777" w:rsidR="00D44CBD" w:rsidRPr="00D44CBD" w:rsidRDefault="007E0180" w:rsidP="00A8465C">
      <w:pPr>
        <w:pStyle w:val="ListParagraph"/>
        <w:numPr>
          <w:ilvl w:val="0"/>
          <w:numId w:val="10"/>
        </w:numPr>
      </w:pPr>
      <w:r w:rsidRPr="00A33C55">
        <w:rPr>
          <w:b/>
          <w:bCs/>
        </w:rPr>
        <w:t>How often are biological indicators used?</w:t>
      </w:r>
    </w:p>
    <w:p w14:paraId="080AD95F" w14:textId="037D1A50" w:rsidR="00A8465C" w:rsidRDefault="007E0180" w:rsidP="00D44CBD">
      <w:pPr>
        <w:pStyle w:val="ListParagraph"/>
      </w:pPr>
      <w:r w:rsidRPr="007E0180">
        <w:t>Each steriliser must have biological indicator monitoring performed at least weekly. In addition, every load containing critical items intended for implantation must include a biological indicator, and those items should ideally remain quarantined until a negative result is confirmed.</w:t>
      </w:r>
    </w:p>
    <w:p w14:paraId="71D8112F" w14:textId="77777777" w:rsidR="00D44CBD" w:rsidRPr="007E0180" w:rsidRDefault="00D44CBD" w:rsidP="00D44CBD">
      <w:pPr>
        <w:pStyle w:val="ListParagraph"/>
      </w:pPr>
    </w:p>
    <w:p w14:paraId="6083A561" w14:textId="77777777" w:rsidR="00D44CBD" w:rsidRPr="00D44CBD" w:rsidRDefault="007E0180" w:rsidP="00A33C55">
      <w:pPr>
        <w:pStyle w:val="ListParagraph"/>
        <w:numPr>
          <w:ilvl w:val="0"/>
          <w:numId w:val="10"/>
        </w:numPr>
      </w:pPr>
      <w:r w:rsidRPr="00A33C55">
        <w:rPr>
          <w:b/>
          <w:bCs/>
        </w:rPr>
        <w:t>Can instruments be used before biological indicator results are available?</w:t>
      </w:r>
    </w:p>
    <w:p w14:paraId="56C7FF9F" w14:textId="59F67F6F" w:rsidR="007E0180" w:rsidRDefault="007E0180" w:rsidP="00D44CBD">
      <w:pPr>
        <w:pStyle w:val="ListParagraph"/>
      </w:pPr>
      <w:r w:rsidRPr="007E0180">
        <w:t>For critical implantable items,</w:t>
      </w:r>
      <w:r w:rsidR="00A33C55" w:rsidRPr="00A33C55">
        <w:rPr>
          <w:rFonts w:ascii="Segoe UI" w:eastAsia="Times New Roman" w:hAnsi="Segoe UI" w:cs="Segoe UI"/>
          <w:sz w:val="21"/>
          <w:szCs w:val="21"/>
          <w:lang w:eastAsia="en-NZ"/>
        </w:rPr>
        <w:t xml:space="preserve"> </w:t>
      </w:r>
      <w:r w:rsidR="00A33C55" w:rsidRPr="00A33C55">
        <w:t>such as contraceptive implants or other devices intended to stay in place</w:t>
      </w:r>
      <w:r w:rsidR="00A33C55">
        <w:t xml:space="preserve">, </w:t>
      </w:r>
      <w:r w:rsidRPr="007E0180">
        <w:t>no. These items should be quarantined until the biological indicator result is confirmed as negative.</w:t>
      </w:r>
      <w:r w:rsidR="00421DEA">
        <w:t xml:space="preserve"> </w:t>
      </w:r>
      <w:r w:rsidRPr="007E0180">
        <w:t xml:space="preserve">For </w:t>
      </w:r>
      <w:proofErr w:type="spellStart"/>
      <w:r w:rsidRPr="007E0180">
        <w:t>non implant</w:t>
      </w:r>
      <w:proofErr w:type="spellEnd"/>
      <w:r w:rsidRPr="007E0180">
        <w:t xml:space="preserve"> items, release of instruments may be based on satisfactory mechanical monitoring and internal chemical indicator results. Biological indicator monitoring provides ongoing confirmation of process effectiveness over time. If a biological indicator later indicates a failure, recall and reprocessing procedures must be followed.</w:t>
      </w:r>
    </w:p>
    <w:p w14:paraId="7DB8B5A1" w14:textId="77777777" w:rsidR="00D44CBD" w:rsidRPr="007E0180" w:rsidRDefault="00D44CBD" w:rsidP="00D44CBD">
      <w:pPr>
        <w:pStyle w:val="ListParagraph"/>
      </w:pPr>
    </w:p>
    <w:p w14:paraId="46742840" w14:textId="77777777" w:rsidR="00D44CBD" w:rsidRPr="00D44CBD" w:rsidRDefault="007E0180" w:rsidP="00A33C55">
      <w:pPr>
        <w:pStyle w:val="ListParagraph"/>
        <w:numPr>
          <w:ilvl w:val="0"/>
          <w:numId w:val="10"/>
        </w:numPr>
      </w:pPr>
      <w:r w:rsidRPr="00A33C55">
        <w:rPr>
          <w:b/>
          <w:bCs/>
        </w:rPr>
        <w:t>What does Log 6 or Log 5 mean for a biological indicator?</w:t>
      </w:r>
    </w:p>
    <w:p w14:paraId="51A64968" w14:textId="1CD8DBC7" w:rsidR="007E0180" w:rsidRDefault="007E0180" w:rsidP="00D44CBD">
      <w:pPr>
        <w:pStyle w:val="ListParagraph"/>
      </w:pPr>
      <w:r w:rsidRPr="007E0180">
        <w:t xml:space="preserve">The log value refers to the number of test microorganisms present in the biological indicator. A Log 6 indicator contains one million microorganisms. Practices must use </w:t>
      </w:r>
      <w:r w:rsidRPr="00421DEA">
        <w:t>ISO compliant biological indicators</w:t>
      </w:r>
      <w:r w:rsidRPr="007E0180">
        <w:t xml:space="preserve"> that are appropriate for the sterilisation method and cycle used. The selection and use of biological indicators should be documented in practice policy in line with manufacturer instructions.</w:t>
      </w:r>
    </w:p>
    <w:p w14:paraId="16001806" w14:textId="77777777" w:rsidR="00D44CBD" w:rsidRPr="007E0180" w:rsidRDefault="00D44CBD" w:rsidP="00D44CBD">
      <w:pPr>
        <w:pStyle w:val="ListParagraph"/>
      </w:pPr>
    </w:p>
    <w:p w14:paraId="1A8C003F" w14:textId="77777777" w:rsidR="00D44CBD" w:rsidRPr="00D44CBD" w:rsidRDefault="007E0180" w:rsidP="00A33C55">
      <w:pPr>
        <w:pStyle w:val="ListParagraph"/>
        <w:numPr>
          <w:ilvl w:val="0"/>
          <w:numId w:val="10"/>
        </w:numPr>
      </w:pPr>
      <w:r w:rsidRPr="00A33C55">
        <w:rPr>
          <w:b/>
          <w:bCs/>
        </w:rPr>
        <w:t>Can biological indicators be incubated in house?</w:t>
      </w:r>
    </w:p>
    <w:p w14:paraId="735B0208" w14:textId="31CCD820" w:rsidR="007E0180" w:rsidRDefault="007E0180" w:rsidP="00D44CBD">
      <w:pPr>
        <w:pStyle w:val="ListParagraph"/>
      </w:pPr>
      <w:r w:rsidRPr="007E0180">
        <w:t>Yes. Biological indicators may be incubated in house provided the manufacturer instructions are followed, including incubation time, temperature, and use of a control indicator. There is no requirement in AS 5369:2023 for biological indicator incubation to be undertaken by an external accredited laboratory.</w:t>
      </w:r>
    </w:p>
    <w:p w14:paraId="342A051C" w14:textId="77777777" w:rsidR="00D44CBD" w:rsidRPr="007E0180" w:rsidRDefault="00D44CBD" w:rsidP="00D44CBD">
      <w:pPr>
        <w:pStyle w:val="ListParagraph"/>
      </w:pPr>
    </w:p>
    <w:p w14:paraId="28C197D9" w14:textId="77777777" w:rsidR="00D44CBD" w:rsidRPr="00D44CBD" w:rsidRDefault="007E0180" w:rsidP="00A33C55">
      <w:pPr>
        <w:pStyle w:val="ListParagraph"/>
        <w:numPr>
          <w:ilvl w:val="0"/>
          <w:numId w:val="10"/>
        </w:numPr>
      </w:pPr>
      <w:r w:rsidRPr="00A33C55">
        <w:rPr>
          <w:b/>
          <w:bCs/>
        </w:rPr>
        <w:t>What happens if a biological indicator is positive?</w:t>
      </w:r>
    </w:p>
    <w:p w14:paraId="0569D24A" w14:textId="6F1C38F2" w:rsidR="007E0180" w:rsidRPr="007E0180" w:rsidRDefault="007E0180" w:rsidP="00D44CBD">
      <w:pPr>
        <w:pStyle w:val="ListParagraph"/>
      </w:pPr>
      <w:r w:rsidRPr="007E0180">
        <w:t xml:space="preserve">A positive biological indicator is treated as a sterilisation process failure. The steriliser must be removed from service immediately. Loads containing critical items are quarantined, and recall may be required depending on traceability records. The biological indicator test is repeated. If the repeat result is negative, the steriliser may be </w:t>
      </w:r>
      <w:r w:rsidRPr="007E0180">
        <w:lastRenderedPageBreak/>
        <w:t>returned to service. If the repeat result is positive, further investigation and corrective action are required.</w:t>
      </w:r>
    </w:p>
    <w:p w14:paraId="1935B06A" w14:textId="77777777" w:rsidR="00D44CBD" w:rsidRPr="00D44CBD" w:rsidRDefault="007E0180" w:rsidP="00A33C55">
      <w:pPr>
        <w:pStyle w:val="ListParagraph"/>
        <w:numPr>
          <w:ilvl w:val="0"/>
          <w:numId w:val="10"/>
        </w:numPr>
      </w:pPr>
      <w:r w:rsidRPr="00A33C55">
        <w:rPr>
          <w:b/>
          <w:bCs/>
        </w:rPr>
        <w:t>If chemical indicators and mechanical monitoring passed, why does a positive biological indicator matter?</w:t>
      </w:r>
    </w:p>
    <w:p w14:paraId="47B50B38" w14:textId="48D47267" w:rsidR="007E0180" w:rsidRDefault="007E0180" w:rsidP="00D44CBD">
      <w:pPr>
        <w:pStyle w:val="ListParagraph"/>
      </w:pPr>
      <w:r w:rsidRPr="007E0180">
        <w:t>Mechanical monitoring confirms that cycle parameters were achieved, and chemical indicators confirm exposure to sterilisation conditions. However, neither confirms that microorganisms were destroyed. A biological indicator directly challenges the effectiveness of the sterilisation process and therefore takes precedence when interpreting results.</w:t>
      </w:r>
    </w:p>
    <w:p w14:paraId="2AE40E39" w14:textId="77777777" w:rsidR="00D44CBD" w:rsidRPr="007E0180" w:rsidRDefault="00D44CBD" w:rsidP="00D44CBD">
      <w:pPr>
        <w:pStyle w:val="ListParagraph"/>
      </w:pPr>
    </w:p>
    <w:p w14:paraId="22576430" w14:textId="77777777" w:rsidR="00D44CBD" w:rsidRPr="00D44CBD" w:rsidRDefault="007E0180" w:rsidP="00A33C55">
      <w:pPr>
        <w:pStyle w:val="ListParagraph"/>
        <w:numPr>
          <w:ilvl w:val="0"/>
          <w:numId w:val="10"/>
        </w:numPr>
      </w:pPr>
      <w:r w:rsidRPr="00A33C55">
        <w:rPr>
          <w:b/>
          <w:bCs/>
        </w:rPr>
        <w:t>Do electronic records or printouts replace chemical indicators?</w:t>
      </w:r>
    </w:p>
    <w:p w14:paraId="077C2EE0" w14:textId="70204DD9" w:rsidR="007E0180" w:rsidRDefault="007E0180" w:rsidP="00D44CBD">
      <w:pPr>
        <w:pStyle w:val="ListParagraph"/>
      </w:pPr>
      <w:r w:rsidRPr="007E0180">
        <w:t xml:space="preserve">No. Mechanical monitoring, including electronic records or printouts, is required for every cycle but does </w:t>
      </w:r>
      <w:r w:rsidRPr="00A33C55">
        <w:rPr>
          <w:b/>
          <w:bCs/>
        </w:rPr>
        <w:t>not</w:t>
      </w:r>
      <w:r w:rsidRPr="007E0180">
        <w:t xml:space="preserve"> replace the requirement for internal chemical indicators in every package. AS 5369:</w:t>
      </w:r>
      <w:r w:rsidRPr="00A8465C">
        <w:t>2023 requires that mechanical monitoring, chemical indicators, and biological indicators are used together as</w:t>
      </w:r>
      <w:r w:rsidRPr="007E0180">
        <w:t xml:space="preserve"> part of routine sterilisation process monitoring.</w:t>
      </w:r>
    </w:p>
    <w:p w14:paraId="1BDC41C4" w14:textId="77777777" w:rsidR="00D44CBD" w:rsidRPr="007E0180" w:rsidRDefault="00D44CBD" w:rsidP="00D44CBD">
      <w:pPr>
        <w:pStyle w:val="ListParagraph"/>
      </w:pPr>
    </w:p>
    <w:p w14:paraId="1479779B" w14:textId="77777777" w:rsidR="00D44CBD" w:rsidRPr="00D44CBD" w:rsidRDefault="007E0180" w:rsidP="00A33C55">
      <w:pPr>
        <w:pStyle w:val="ListParagraph"/>
        <w:numPr>
          <w:ilvl w:val="0"/>
          <w:numId w:val="10"/>
        </w:numPr>
      </w:pPr>
      <w:r w:rsidRPr="00A33C55">
        <w:rPr>
          <w:b/>
          <w:bCs/>
        </w:rPr>
        <w:t>Why is traceability important?</w:t>
      </w:r>
    </w:p>
    <w:p w14:paraId="421EFE73" w14:textId="7D6B3266" w:rsidR="007E0180" w:rsidRPr="007E0180" w:rsidRDefault="007E0180" w:rsidP="00D44CBD">
      <w:pPr>
        <w:pStyle w:val="ListParagraph"/>
      </w:pPr>
      <w:r w:rsidRPr="007E0180">
        <w:t>Traceability ensures the practice can identify which instruments, loads, and patients may be affected if a sterilisation failure or non</w:t>
      </w:r>
      <w:r w:rsidRPr="007E0180">
        <w:noBreakHyphen/>
        <w:t xml:space="preserve">conformance occurs. Records must be sufficient to support informed recall decisions for </w:t>
      </w:r>
      <w:r w:rsidRPr="00A8465C">
        <w:t>semi</w:t>
      </w:r>
      <w:r w:rsidRPr="00A8465C">
        <w:noBreakHyphen/>
        <w:t>critical and critical items,</w:t>
      </w:r>
      <w:r w:rsidRPr="007E0180">
        <w:t xml:space="preserve"> in line with AS 5369:2023 requirements.</w:t>
      </w:r>
    </w:p>
    <w:p w14:paraId="23564E21" w14:textId="77777777" w:rsidR="004842CE" w:rsidRPr="004842CE" w:rsidRDefault="004842CE" w:rsidP="004842CE"/>
    <w:sectPr w:rsidR="004842CE" w:rsidRPr="004842C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69D3" w14:textId="77777777" w:rsidR="00021DC5" w:rsidRDefault="00021DC5" w:rsidP="00021DC5">
      <w:pPr>
        <w:spacing w:after="0" w:line="240" w:lineRule="auto"/>
      </w:pPr>
      <w:r>
        <w:separator/>
      </w:r>
    </w:p>
  </w:endnote>
  <w:endnote w:type="continuationSeparator" w:id="0">
    <w:p w14:paraId="4ABC158F" w14:textId="77777777" w:rsidR="00021DC5" w:rsidRDefault="00021DC5" w:rsidP="0002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EC7E" w14:textId="77777777" w:rsidR="00021DC5" w:rsidRDefault="0002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08029"/>
      <w:docPartObj>
        <w:docPartGallery w:val="Page Numbers (Bottom of Page)"/>
        <w:docPartUnique/>
      </w:docPartObj>
    </w:sdtPr>
    <w:sdtEndPr/>
    <w:sdtContent>
      <w:p w14:paraId="03A20109" w14:textId="275388B8" w:rsidR="006F2956" w:rsidRDefault="006F2956">
        <w:pPr>
          <w:pStyle w:val="Footer"/>
          <w:jc w:val="right"/>
        </w:pPr>
        <w:r>
          <w:fldChar w:fldCharType="begin"/>
        </w:r>
        <w:r>
          <w:instrText>PAGE   \* MERGEFORMAT</w:instrText>
        </w:r>
        <w:r>
          <w:fldChar w:fldCharType="separate"/>
        </w:r>
        <w:r>
          <w:rPr>
            <w:lang w:val="en-GB"/>
          </w:rPr>
          <w:t>2</w:t>
        </w:r>
        <w:r>
          <w:fldChar w:fldCharType="end"/>
        </w:r>
      </w:p>
    </w:sdtContent>
  </w:sdt>
  <w:p w14:paraId="55FDF84A" w14:textId="07463AC4" w:rsidR="00021DC5" w:rsidRDefault="006F2956">
    <w:pPr>
      <w:pStyle w:val="Footer"/>
    </w:pPr>
    <w:r w:rsidRPr="006F2956">
      <w:rPr>
        <w:lang w:val="en-US"/>
      </w:rPr>
      <w:t>RNZCGP resource </w:t>
    </w:r>
    <w:r w:rsidRPr="006F2956">
      <w:tab/>
    </w:r>
    <w:r w:rsidRPr="006F2956">
      <w:rPr>
        <w:lang w:val="en-US"/>
      </w:rPr>
      <w:t xml:space="preserve">Foundation Standard </w:t>
    </w:r>
    <w:r>
      <w:rPr>
        <w:lang w:val="en-US"/>
      </w:rPr>
      <w:t>12.1</w:t>
    </w:r>
    <w:r w:rsidRPr="006F2956">
      <w:tab/>
    </w:r>
    <w:r>
      <w:rPr>
        <w:lang w:val="en-US"/>
      </w:rPr>
      <w:t>February</w:t>
    </w:r>
    <w:r w:rsidRPr="006F2956">
      <w:rPr>
        <w:lang w:val="en-US"/>
      </w:rPr>
      <w:t> 202</w:t>
    </w:r>
    <w:r w:rsidR="00A8465C">
      <w:rPr>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6584" w14:textId="77777777" w:rsidR="00021DC5" w:rsidRDefault="0002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B45C" w14:textId="77777777" w:rsidR="00021DC5" w:rsidRDefault="00021DC5" w:rsidP="00021DC5">
      <w:pPr>
        <w:spacing w:after="0" w:line="240" w:lineRule="auto"/>
      </w:pPr>
      <w:r>
        <w:separator/>
      </w:r>
    </w:p>
  </w:footnote>
  <w:footnote w:type="continuationSeparator" w:id="0">
    <w:p w14:paraId="629AAD6B" w14:textId="77777777" w:rsidR="00021DC5" w:rsidRDefault="00021DC5" w:rsidP="0002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814F" w14:textId="77777777" w:rsidR="00021DC5" w:rsidRDefault="0002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6753" w14:textId="621461F5" w:rsidR="00021DC5" w:rsidRDefault="00021DC5">
    <w:pPr>
      <w:pStyle w:val="Header"/>
    </w:pPr>
    <w:r>
      <w:rPr>
        <w:noProof/>
        <w:lang w:eastAsia="en-NZ"/>
      </w:rPr>
      <w:drawing>
        <wp:inline distT="0" distB="0" distL="0" distR="0" wp14:anchorId="42FEDD94" wp14:editId="46874DFB">
          <wp:extent cx="2056366" cy="529520"/>
          <wp:effectExtent l="0" t="0" r="1270" b="4445"/>
          <wp:docPr id="34" name="Picture 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6631" cy="565639"/>
                  </a:xfrm>
                  <a:prstGeom prst="rect">
                    <a:avLst/>
                  </a:prstGeom>
                </pic:spPr>
              </pic:pic>
            </a:graphicData>
          </a:graphic>
        </wp:inline>
      </w:drawing>
    </w:r>
  </w:p>
  <w:p w14:paraId="0FFCA62F" w14:textId="77777777" w:rsidR="00021DC5" w:rsidRDefault="00021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A4A8" w14:textId="77777777" w:rsidR="00021DC5" w:rsidRDefault="00021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3FC"/>
    <w:multiLevelType w:val="multilevel"/>
    <w:tmpl w:val="A34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37C3B"/>
    <w:multiLevelType w:val="multilevel"/>
    <w:tmpl w:val="77F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B78BB"/>
    <w:multiLevelType w:val="multilevel"/>
    <w:tmpl w:val="EC4CD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A023C"/>
    <w:multiLevelType w:val="multilevel"/>
    <w:tmpl w:val="CCC4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81092"/>
    <w:multiLevelType w:val="multilevel"/>
    <w:tmpl w:val="D19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06BBE"/>
    <w:multiLevelType w:val="multilevel"/>
    <w:tmpl w:val="68F4C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E16B5"/>
    <w:multiLevelType w:val="multilevel"/>
    <w:tmpl w:val="9542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967FC"/>
    <w:multiLevelType w:val="hybridMultilevel"/>
    <w:tmpl w:val="52CE34E0"/>
    <w:lvl w:ilvl="0" w:tplc="6B7AB86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94720680">
    <w:abstractNumId w:val="2"/>
  </w:num>
  <w:num w:numId="2" w16cid:durableId="1108433227">
    <w:abstractNumId w:val="1"/>
  </w:num>
  <w:num w:numId="3" w16cid:durableId="915555397">
    <w:abstractNumId w:val="6"/>
  </w:num>
  <w:num w:numId="4" w16cid:durableId="1925260908">
    <w:abstractNumId w:val="5"/>
  </w:num>
  <w:num w:numId="5" w16cid:durableId="1978218435">
    <w:abstractNumId w:val="2"/>
  </w:num>
  <w:num w:numId="6" w16cid:durableId="144324302">
    <w:abstractNumId w:val="5"/>
  </w:num>
  <w:num w:numId="7" w16cid:durableId="1053045069">
    <w:abstractNumId w:val="4"/>
  </w:num>
  <w:num w:numId="8" w16cid:durableId="520749662">
    <w:abstractNumId w:val="3"/>
  </w:num>
  <w:num w:numId="9" w16cid:durableId="1356229379">
    <w:abstractNumId w:val="0"/>
  </w:num>
  <w:num w:numId="10" w16cid:durableId="806624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29"/>
    <w:rsid w:val="00021DC5"/>
    <w:rsid w:val="0027077F"/>
    <w:rsid w:val="00421DEA"/>
    <w:rsid w:val="004454BE"/>
    <w:rsid w:val="004842CE"/>
    <w:rsid w:val="005D5132"/>
    <w:rsid w:val="006F2956"/>
    <w:rsid w:val="007B79ED"/>
    <w:rsid w:val="007E0180"/>
    <w:rsid w:val="00800B9F"/>
    <w:rsid w:val="00937AB6"/>
    <w:rsid w:val="00A33C55"/>
    <w:rsid w:val="00A40010"/>
    <w:rsid w:val="00A8465C"/>
    <w:rsid w:val="00B134B3"/>
    <w:rsid w:val="00C56829"/>
    <w:rsid w:val="00D44CBD"/>
    <w:rsid w:val="00DD5A43"/>
    <w:rsid w:val="00E16144"/>
    <w:rsid w:val="1A652CA7"/>
    <w:rsid w:val="20470477"/>
    <w:rsid w:val="208BD0E3"/>
    <w:rsid w:val="37AED281"/>
    <w:rsid w:val="5717BF30"/>
    <w:rsid w:val="6A074051"/>
    <w:rsid w:val="6ABAEA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6D844"/>
  <w15:chartTrackingRefBased/>
  <w15:docId w15:val="{F261D981-9902-49C3-98DF-928F0E2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5C"/>
  </w:style>
  <w:style w:type="paragraph" w:styleId="Heading1">
    <w:name w:val="heading 1"/>
    <w:basedOn w:val="Normal"/>
    <w:next w:val="Normal"/>
    <w:link w:val="Heading1Char"/>
    <w:uiPriority w:val="9"/>
    <w:qFormat/>
    <w:rsid w:val="00A8465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8465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65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65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A8465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8465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8465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8465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8465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65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84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65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65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8465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8465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8465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8465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8465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A8465C"/>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A8465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8465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8465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A8465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A8465C"/>
    <w:rPr>
      <w:color w:val="0E2841" w:themeColor="text2"/>
      <w:sz w:val="24"/>
      <w:szCs w:val="24"/>
    </w:rPr>
  </w:style>
  <w:style w:type="paragraph" w:styleId="ListParagraph">
    <w:name w:val="List Paragraph"/>
    <w:basedOn w:val="Normal"/>
    <w:uiPriority w:val="34"/>
    <w:qFormat/>
    <w:rsid w:val="00C56829"/>
    <w:pPr>
      <w:ind w:left="720"/>
      <w:contextualSpacing/>
    </w:pPr>
  </w:style>
  <w:style w:type="character" w:styleId="IntenseEmphasis">
    <w:name w:val="Intense Emphasis"/>
    <w:basedOn w:val="DefaultParagraphFont"/>
    <w:uiPriority w:val="21"/>
    <w:qFormat/>
    <w:rsid w:val="00A8465C"/>
    <w:rPr>
      <w:b/>
      <w:bCs/>
      <w:i/>
      <w:iCs/>
    </w:rPr>
  </w:style>
  <w:style w:type="paragraph" w:styleId="IntenseQuote">
    <w:name w:val="Intense Quote"/>
    <w:basedOn w:val="Normal"/>
    <w:next w:val="Normal"/>
    <w:link w:val="IntenseQuoteChar"/>
    <w:uiPriority w:val="30"/>
    <w:qFormat/>
    <w:rsid w:val="00A8465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8465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A8465C"/>
    <w:rPr>
      <w:b/>
      <w:bCs/>
      <w:smallCaps/>
      <w:color w:val="0E2841" w:themeColor="text2"/>
      <w:u w:val="single"/>
    </w:rPr>
  </w:style>
  <w:style w:type="character" w:styleId="Hyperlink">
    <w:name w:val="Hyperlink"/>
    <w:basedOn w:val="DefaultParagraphFont"/>
    <w:uiPriority w:val="99"/>
    <w:unhideWhenUsed/>
    <w:rsid w:val="00C56829"/>
    <w:rPr>
      <w:color w:val="467886" w:themeColor="hyperlink"/>
      <w:u w:val="single"/>
    </w:rPr>
  </w:style>
  <w:style w:type="character" w:styleId="UnresolvedMention">
    <w:name w:val="Unresolved Mention"/>
    <w:basedOn w:val="DefaultParagraphFont"/>
    <w:uiPriority w:val="99"/>
    <w:semiHidden/>
    <w:unhideWhenUsed/>
    <w:rsid w:val="00C56829"/>
    <w:rPr>
      <w:color w:val="605E5C"/>
      <w:shd w:val="clear" w:color="auto" w:fill="E1DFDD"/>
    </w:rPr>
  </w:style>
  <w:style w:type="character" w:styleId="FollowedHyperlink">
    <w:name w:val="FollowedHyperlink"/>
    <w:basedOn w:val="DefaultParagraphFont"/>
    <w:uiPriority w:val="99"/>
    <w:semiHidden/>
    <w:unhideWhenUsed/>
    <w:rsid w:val="00C56829"/>
    <w:rPr>
      <w:color w:val="96607D" w:themeColor="followedHyperlink"/>
      <w:u w:val="single"/>
    </w:rPr>
  </w:style>
  <w:style w:type="paragraph" w:styleId="Header">
    <w:name w:val="header"/>
    <w:basedOn w:val="Normal"/>
    <w:link w:val="HeaderChar"/>
    <w:uiPriority w:val="99"/>
    <w:unhideWhenUsed/>
    <w:rsid w:val="0002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DC5"/>
  </w:style>
  <w:style w:type="paragraph" w:styleId="Footer">
    <w:name w:val="footer"/>
    <w:basedOn w:val="Normal"/>
    <w:link w:val="FooterChar"/>
    <w:uiPriority w:val="99"/>
    <w:unhideWhenUsed/>
    <w:rsid w:val="0002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C5"/>
  </w:style>
  <w:style w:type="paragraph" w:styleId="Caption">
    <w:name w:val="caption"/>
    <w:basedOn w:val="Normal"/>
    <w:next w:val="Normal"/>
    <w:uiPriority w:val="35"/>
    <w:semiHidden/>
    <w:unhideWhenUsed/>
    <w:qFormat/>
    <w:rsid w:val="00A8465C"/>
    <w:pPr>
      <w:spacing w:line="240" w:lineRule="auto"/>
    </w:pPr>
    <w:rPr>
      <w:b/>
      <w:bCs/>
      <w:smallCaps/>
      <w:color w:val="0E2841" w:themeColor="text2"/>
    </w:rPr>
  </w:style>
  <w:style w:type="character" w:styleId="Strong">
    <w:name w:val="Strong"/>
    <w:basedOn w:val="DefaultParagraphFont"/>
    <w:uiPriority w:val="22"/>
    <w:qFormat/>
    <w:rsid w:val="00A8465C"/>
    <w:rPr>
      <w:b/>
      <w:bCs/>
    </w:rPr>
  </w:style>
  <w:style w:type="character" w:styleId="Emphasis">
    <w:name w:val="Emphasis"/>
    <w:basedOn w:val="DefaultParagraphFont"/>
    <w:uiPriority w:val="20"/>
    <w:qFormat/>
    <w:rsid w:val="00A8465C"/>
    <w:rPr>
      <w:i/>
      <w:iCs/>
    </w:rPr>
  </w:style>
  <w:style w:type="paragraph" w:styleId="NoSpacing">
    <w:name w:val="No Spacing"/>
    <w:uiPriority w:val="1"/>
    <w:qFormat/>
    <w:rsid w:val="00A8465C"/>
    <w:pPr>
      <w:spacing w:after="0" w:line="240" w:lineRule="auto"/>
    </w:pPr>
  </w:style>
  <w:style w:type="character" w:styleId="SubtleEmphasis">
    <w:name w:val="Subtle Emphasis"/>
    <w:basedOn w:val="DefaultParagraphFont"/>
    <w:uiPriority w:val="19"/>
    <w:qFormat/>
    <w:rsid w:val="00A8465C"/>
    <w:rPr>
      <w:i/>
      <w:iCs/>
      <w:color w:val="595959" w:themeColor="text1" w:themeTint="A6"/>
    </w:rPr>
  </w:style>
  <w:style w:type="character" w:styleId="SubtleReference">
    <w:name w:val="Subtle Reference"/>
    <w:basedOn w:val="DefaultParagraphFont"/>
    <w:uiPriority w:val="31"/>
    <w:qFormat/>
    <w:rsid w:val="00A8465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8465C"/>
    <w:rPr>
      <w:b/>
      <w:bCs/>
      <w:smallCaps/>
      <w:spacing w:val="10"/>
    </w:rPr>
  </w:style>
  <w:style w:type="paragraph" w:styleId="TOCHeading">
    <w:name w:val="TOC Heading"/>
    <w:basedOn w:val="Heading1"/>
    <w:next w:val="Normal"/>
    <w:uiPriority w:val="39"/>
    <w:semiHidden/>
    <w:unhideWhenUsed/>
    <w:qFormat/>
    <w:rsid w:val="00A846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4E09D5F4CBFC3B46A39A62871BEC823F" ma:contentTypeVersion="127" ma:contentTypeDescription="Create a new document." ma:contentTypeScope="" ma:versionID="5fc7bb1fca1331785c610e5bdccdfcfc">
  <xsd:schema xmlns:xsd="http://www.w3.org/2001/XMLSchema" xmlns:xs="http://www.w3.org/2001/XMLSchema" xmlns:p="http://schemas.microsoft.com/office/2006/metadata/properties" xmlns:ns2="5e9dfbfb-c6a0-4ef1-b87e-500bb4de7620" xmlns:ns3="4f9c820c-e7e2-444d-97ee-45f2b3485c1d" xmlns:ns4="15ffb055-6eb4-45a1-bc20-bf2ac0d420da" xmlns:ns5="725c79e5-42ce-4aa0-ac78-b6418001f0d2" xmlns:ns6="c91a514c-9034-4fa3-897a-8352025b26ed" xmlns:ns7="ca0a19aa-4b2f-45fc-958e-2ab6058f8604" targetNamespace="http://schemas.microsoft.com/office/2006/metadata/properties" ma:root="true" ma:fieldsID="990b3dd4451a5f373752ebc805c33cda" ns2:_="" ns3:_="" ns4:_="" ns5:_="" ns6:_="" ns7:_="">
    <xsd:import namespace="5e9dfbfb-c6a0-4ef1-b87e-500bb4de7620"/>
    <xsd:import namespace="4f9c820c-e7e2-444d-97ee-45f2b3485c1d"/>
    <xsd:import namespace="15ffb055-6eb4-45a1-bc20-bf2ac0d420da"/>
    <xsd:import namespace="725c79e5-42ce-4aa0-ac78-b6418001f0d2"/>
    <xsd:import namespace="c91a514c-9034-4fa3-897a-8352025b26ed"/>
    <xsd:import namespace="ca0a19aa-4b2f-45fc-958e-2ab6058f8604"/>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lcf76f155ced4ddcb4097134ff3c332f" minOccurs="0"/>
                <xsd:element ref="ns2:TaxCatchAll" minOccurs="0"/>
                <xsd:element ref="ns7:MediaServiceOCR" minOccurs="0"/>
                <xsd:element ref="ns7:MediaServiceGenerationTime" minOccurs="0"/>
                <xsd:element ref="ns7:MediaServiceEventHashCode" minOccurs="0"/>
                <xsd:element ref="ns7:MediaServiceDateTaken" minOccurs="0"/>
                <xsd:element ref="ns7:MediaLengthInSecond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dfbfb-c6a0-4ef1-b87e-500bb4de7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element name="TaxCatchAll" ma:index="51" nillable="true" ma:displayName="Taxonomy Catch All Column" ma:hidden="true" ma:list="{62259b9e-d820-4f5e-8934-a1b28de767db}" ma:internalName="TaxCatchAll" ma:showField="CatchAllData" ma:web="5e9dfbfb-c6a0-4ef1-b87e-500bb4de7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RAWING, Plan, Map"/>
          <xsd:enumeration value="EMPLOYMENT related"/>
          <xsd:enumeration value="FINANCIAL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NA" ma:hidden="true" ma:internalName="FunctionGroup" ma:readOnly="false">
      <xsd:simpleType>
        <xsd:restriction base="dms:Text">
          <xsd:maxLength value="255"/>
        </xsd:restriction>
      </xsd:simpleType>
    </xsd:element>
    <xsd:element name="Function" ma:index="22" nillable="true" ma:displayName="Function" ma:default="Practice Standar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andard"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andard"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0a19aa-4b2f-45fc-958e-2ab6058f8604" elementFormDefault="qualified">
    <xsd:import namespace="http://schemas.microsoft.com/office/2006/documentManagement/types"/>
    <xsd:import namespace="http://schemas.microsoft.com/office/infopath/2007/PartnerControls"/>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07980805-658c-4488-a183-2ab7223f0580" ma:termSetId="09814cd3-568e-fe90-9814-8d621ff8fb84" ma:anchorId="fba54fb3-c3e1-fe81-a776-ca4b69148c4d" ma:open="true" ma:isKeyword="false">
      <xsd:complexType>
        <xsd:sequence>
          <xsd:element ref="pc:Terms" minOccurs="0" maxOccurs="1"/>
        </xsd:sequence>
      </xsd:complex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DateTaken" ma:index="55" nillable="true" ma:displayName="MediaServiceDateTaken" ma:hidden="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Foundation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Standard</Activity>
    <AggregationStatus xmlns="4f9c820c-e7e2-444d-97ee-45f2b3485c1d">Normal</AggregationStatus>
    <CategoryValue xmlns="4f9c820c-e7e2-444d-97ee-45f2b3485c1d">12.1</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Standard</Team>
    <lcf76f155ced4ddcb4097134ff3c332f xmlns="ca0a19aa-4b2f-45fc-958e-2ab6058f8604">
      <Terms xmlns="http://schemas.microsoft.com/office/infopath/2007/PartnerControls"/>
    </lcf76f155ced4ddcb4097134ff3c332f>
    <Project xmlns="4f9c820c-e7e2-444d-97ee-45f2b3485c1d">NA</Project>
    <FunctionGroup xmlns="4f9c820c-e7e2-444d-97ee-45f2b3485c1d">NA</FunctionGroup>
    <Function xmlns="4f9c820c-e7e2-444d-97ee-45f2b3485c1d">Practice Standards</Function>
    <RelatedPeople xmlns="4f9c820c-e7e2-444d-97ee-45f2b3485c1d">
      <UserInfo>
        <DisplayName/>
        <AccountId xsi:nil="true"/>
        <AccountType/>
      </UserInfo>
    </RelatedPeople>
    <AggregationNarrative xmlns="725c79e5-42ce-4aa0-ac78-b6418001f0d2" xsi:nil="true"/>
    <Channel xmlns="c91a514c-9034-4fa3-897a-8352025b26ed">Foundation</Channel>
    <PRAType xmlns="4f9c820c-e7e2-444d-97ee-45f2b3485c1d">Doc</PRAType>
    <PRADate1 xmlns="4f9c820c-e7e2-444d-97ee-45f2b3485c1d" xsi:nil="true"/>
    <DocumentType xmlns="4f9c820c-e7e2-444d-97ee-45f2b3485c1d" xsi:nil="true"/>
    <PRAText3 xmlns="4f9c820c-e7e2-444d-97ee-45f2b3485c1d" xsi:nil="true"/>
    <TaxCatchAll xmlns="5e9dfbfb-c6a0-4ef1-b87e-500bb4de7620" xsi:nil="true"/>
    <Year xmlns="c91a514c-9034-4fa3-897a-8352025b26ed">NA</Year>
    <Narrative xmlns="4f9c820c-e7e2-444d-97ee-45f2b3485c1d" xsi:nil="true"/>
    <CategoryName xmlns="4f9c820c-e7e2-444d-97ee-45f2b3485c1d">2026 FS updates</CategoryName>
    <PRADateTrigger xmlns="4f9c820c-e7e2-444d-97ee-45f2b3485c1d" xsi:nil="true"/>
    <PRAText2 xmlns="4f9c820c-e7e2-444d-97ee-45f2b3485c1d" xsi:nil="true"/>
    <_dlc_DocId xmlns="5e9dfbfb-c6a0-4ef1-b87e-500bb4de7620">VK6TRXQ6PZDQ-1084924081-7582</_dlc_DocId>
    <_dlc_DocIdUrl xmlns="5e9dfbfb-c6a0-4ef1-b87e-500bb4de7620">
      <Url>https://rnzcgp1.sharepoint.com/sites/standard/_layouts/15/DocIdRedir.aspx?ID=VK6TRXQ6PZDQ-1084924081-7582</Url>
      <Description>VK6TRXQ6PZDQ-1084924081-7582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7316D-A164-4D4F-A8CD-57608293753B}">
  <ds:schemaRefs>
    <ds:schemaRef ds:uri="http://schemas.microsoft.com/sharepoint/events"/>
  </ds:schemaRefs>
</ds:datastoreItem>
</file>

<file path=customXml/itemProps2.xml><?xml version="1.0" encoding="utf-8"?>
<ds:datastoreItem xmlns:ds="http://schemas.openxmlformats.org/officeDocument/2006/customXml" ds:itemID="{6325D196-423D-44FB-ADDC-009D5175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dfbfb-c6a0-4ef1-b87e-500bb4de7620"/>
    <ds:schemaRef ds:uri="4f9c820c-e7e2-444d-97ee-45f2b3485c1d"/>
    <ds:schemaRef ds:uri="15ffb055-6eb4-45a1-bc20-bf2ac0d420da"/>
    <ds:schemaRef ds:uri="725c79e5-42ce-4aa0-ac78-b6418001f0d2"/>
    <ds:schemaRef ds:uri="c91a514c-9034-4fa3-897a-8352025b26ed"/>
    <ds:schemaRef ds:uri="ca0a19aa-4b2f-45fc-958e-2ab6058f8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EB81F-C0D9-4D4E-B8F3-49A4E0B202AE}">
  <ds:schemaRefs>
    <ds:schemaRef ds:uri="4f9c820c-e7e2-444d-97ee-45f2b3485c1d"/>
    <ds:schemaRef ds:uri="http://schemas.microsoft.com/office/2006/documentManagement/types"/>
    <ds:schemaRef ds:uri="15ffb055-6eb4-45a1-bc20-bf2ac0d420da"/>
    <ds:schemaRef ds:uri="http://schemas.microsoft.com/office/infopath/2007/PartnerControls"/>
    <ds:schemaRef ds:uri="ca0a19aa-4b2f-45fc-958e-2ab6058f8604"/>
    <ds:schemaRef ds:uri="http://schemas.openxmlformats.org/package/2006/metadata/core-properties"/>
    <ds:schemaRef ds:uri="http://purl.org/dc/terms/"/>
    <ds:schemaRef ds:uri="c91a514c-9034-4fa3-897a-8352025b26ed"/>
    <ds:schemaRef ds:uri="5e9dfbfb-c6a0-4ef1-b87e-500bb4de7620"/>
    <ds:schemaRef ds:uri="http://www.w3.org/XML/1998/namespace"/>
    <ds:schemaRef ds:uri="http://purl.org/dc/dcmitype/"/>
    <ds:schemaRef ds:uri="725c79e5-42ce-4aa0-ac78-b6418001f0d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9DBC445-2B35-4C48-9260-3EDD292E0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Bubendorfer</dc:creator>
  <cp:keywords/>
  <dc:description/>
  <cp:lastModifiedBy>Heidi Bubendorfer</cp:lastModifiedBy>
  <cp:revision>2</cp:revision>
  <dcterms:created xsi:type="dcterms:W3CDTF">2026-03-22T19:28:00Z</dcterms:created>
  <dcterms:modified xsi:type="dcterms:W3CDTF">2026-03-22T19:28:00Z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0x0101004E09D5F4CBFC3B46A39A62871BEC823F</vt:lpwstr>
  </property>
  <property fmtid="{D5CDD505-2E9C-101B-9397-08002B2CF9AE}" pid="3" name="MediaServiceImageTags">
    <vt:lpwstr/>
  </property>
  <property fmtid="{D5CDD505-2E9C-101B-9397-08002B2CF9AE}" pid="4" name="_dlc_DocIdItemGuid">
    <vt:lpwstr>c4db87c0-471e-4cf3-945e-ba8a87b6dcf5</vt:lpwstr>
  </property>
</Properties>
</file>