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9815" w14:textId="611690D1" w:rsidR="00854392" w:rsidRDefault="00F65F28" w:rsidP="00854392">
      <w:pPr>
        <w:jc w:val="center"/>
        <w:rPr>
          <w:color w:val="FF0000"/>
        </w:rPr>
      </w:pPr>
      <w:r>
        <w:rPr>
          <w:color w:val="FF0000"/>
        </w:rPr>
        <w:t>2</w:t>
      </w:r>
    </w:p>
    <w:p w14:paraId="05B2E8D9" w14:textId="77777777" w:rsidR="00D12F75" w:rsidRDefault="00D12F75" w:rsidP="00854392">
      <w:pPr>
        <w:jc w:val="center"/>
        <w:rPr>
          <w:b/>
          <w:color w:val="EE7624"/>
          <w:sz w:val="56"/>
          <w:szCs w:val="56"/>
        </w:rPr>
      </w:pPr>
    </w:p>
    <w:p w14:paraId="180F2759" w14:textId="76BBECFD" w:rsidR="004C6BC6" w:rsidRPr="00553F48" w:rsidRDefault="004C6BC6" w:rsidP="004C6BC6">
      <w:pPr>
        <w:jc w:val="center"/>
        <w:rPr>
          <w:b/>
          <w:color w:val="EE7624"/>
          <w:sz w:val="72"/>
          <w:szCs w:val="72"/>
        </w:rPr>
      </w:pPr>
      <w:r w:rsidRPr="00553F48">
        <w:rPr>
          <w:b/>
          <w:color w:val="EE7624"/>
          <w:sz w:val="72"/>
          <w:szCs w:val="72"/>
        </w:rPr>
        <w:t>Foundation Standard</w:t>
      </w:r>
    </w:p>
    <w:p w14:paraId="1865443F" w14:textId="77777777" w:rsidR="004C6BC6" w:rsidRPr="00553F48" w:rsidRDefault="004C6BC6" w:rsidP="004C6BC6">
      <w:pPr>
        <w:jc w:val="center"/>
        <w:rPr>
          <w:b/>
          <w:color w:val="EE7624"/>
          <w:sz w:val="72"/>
          <w:szCs w:val="72"/>
        </w:rPr>
      </w:pPr>
    </w:p>
    <w:p w14:paraId="7FF7E03A" w14:textId="5B53A984" w:rsidR="004C6BC6" w:rsidRPr="00553F48" w:rsidRDefault="004C6BC6" w:rsidP="004C6BC6">
      <w:pPr>
        <w:jc w:val="center"/>
        <w:rPr>
          <w:b/>
          <w:color w:val="EE7624"/>
          <w:sz w:val="72"/>
          <w:szCs w:val="72"/>
        </w:rPr>
      </w:pPr>
      <w:r w:rsidRPr="00553F48">
        <w:rPr>
          <w:b/>
          <w:color w:val="EE7624"/>
          <w:sz w:val="72"/>
          <w:szCs w:val="72"/>
        </w:rPr>
        <w:t>Draft for piloting and feedback</w:t>
      </w:r>
    </w:p>
    <w:p w14:paraId="339B17A7" w14:textId="5FE72E51" w:rsidR="000837FF" w:rsidRDefault="000837FF" w:rsidP="004C6BC6">
      <w:pPr>
        <w:jc w:val="center"/>
        <w:rPr>
          <w:b/>
          <w:color w:val="EE7624"/>
          <w:sz w:val="56"/>
          <w:szCs w:val="56"/>
        </w:rPr>
      </w:pPr>
    </w:p>
    <w:p w14:paraId="42E8D2A9" w14:textId="78E6732F" w:rsidR="000837FF" w:rsidRDefault="000837FF" w:rsidP="004C6BC6">
      <w:pPr>
        <w:jc w:val="center"/>
        <w:rPr>
          <w:b/>
          <w:color w:val="EE7624"/>
          <w:sz w:val="56"/>
          <w:szCs w:val="56"/>
        </w:rPr>
      </w:pPr>
    </w:p>
    <w:p w14:paraId="09F072C6" w14:textId="77777777" w:rsidR="00FC59CD" w:rsidRDefault="00FC59CD" w:rsidP="004C6BC6">
      <w:pPr>
        <w:jc w:val="center"/>
        <w:rPr>
          <w:i/>
          <w:color w:val="auto"/>
          <w:sz w:val="56"/>
          <w:szCs w:val="56"/>
        </w:rPr>
      </w:pPr>
    </w:p>
    <w:p w14:paraId="3BDDD174" w14:textId="666DC415" w:rsidR="000837FF" w:rsidRDefault="00CC0623" w:rsidP="004C6BC6">
      <w:pPr>
        <w:jc w:val="center"/>
        <w:rPr>
          <w:i/>
          <w:color w:val="auto"/>
          <w:sz w:val="48"/>
          <w:szCs w:val="48"/>
        </w:rPr>
      </w:pPr>
      <w:r w:rsidRPr="00577E0B">
        <w:rPr>
          <w:i/>
          <w:color w:val="auto"/>
          <w:sz w:val="48"/>
          <w:szCs w:val="48"/>
        </w:rPr>
        <w:t>The Foundation Standard represent</w:t>
      </w:r>
      <w:r w:rsidR="00314896">
        <w:rPr>
          <w:i/>
          <w:color w:val="auto"/>
          <w:sz w:val="48"/>
          <w:szCs w:val="48"/>
        </w:rPr>
        <w:t>s the</w:t>
      </w:r>
      <w:r w:rsidRPr="00577E0B">
        <w:rPr>
          <w:i/>
          <w:color w:val="auto"/>
          <w:sz w:val="48"/>
          <w:szCs w:val="48"/>
        </w:rPr>
        <w:t xml:space="preserve"> requirements a general practice must meet as part of providing safe, effective and equitable care.</w:t>
      </w:r>
    </w:p>
    <w:p w14:paraId="4F146183" w14:textId="77777777" w:rsidR="004D2EA7" w:rsidRPr="00577E0B" w:rsidRDefault="004D2EA7" w:rsidP="004C6BC6">
      <w:pPr>
        <w:jc w:val="center"/>
        <w:rPr>
          <w:i/>
          <w:color w:val="auto"/>
          <w:sz w:val="48"/>
          <w:szCs w:val="48"/>
        </w:rPr>
      </w:pPr>
    </w:p>
    <w:p w14:paraId="63620BE0" w14:textId="1BA0D905" w:rsidR="004C6BC6" w:rsidRPr="004D2EA7" w:rsidRDefault="004D2EA7" w:rsidP="004C6BC6">
      <w:pPr>
        <w:jc w:val="center"/>
        <w:rPr>
          <w:color w:val="auto"/>
          <w:sz w:val="48"/>
          <w:szCs w:val="48"/>
        </w:rPr>
      </w:pPr>
      <w:r w:rsidRPr="004D2EA7">
        <w:rPr>
          <w:color w:val="auto"/>
          <w:sz w:val="48"/>
          <w:szCs w:val="48"/>
        </w:rPr>
        <w:t>“Kia tika a runga, kia tika a raro, ka puta ai ki waho”</w:t>
      </w:r>
    </w:p>
    <w:p w14:paraId="7E60D2EC" w14:textId="77777777" w:rsidR="00FC59CD" w:rsidRDefault="00FC59CD" w:rsidP="004C6BC6">
      <w:pPr>
        <w:jc w:val="center"/>
        <w:rPr>
          <w:b/>
          <w:color w:val="EE7624"/>
          <w:sz w:val="56"/>
          <w:szCs w:val="56"/>
        </w:rPr>
      </w:pPr>
    </w:p>
    <w:p w14:paraId="3A6D4C46" w14:textId="77777777" w:rsidR="004C6BC6" w:rsidRDefault="004C6BC6" w:rsidP="004C6BC6">
      <w:pPr>
        <w:jc w:val="center"/>
        <w:rPr>
          <w:b/>
          <w:color w:val="EE7624"/>
          <w:sz w:val="56"/>
          <w:szCs w:val="56"/>
        </w:rPr>
      </w:pPr>
    </w:p>
    <w:p w14:paraId="2D31FDB5" w14:textId="77777777" w:rsidR="004C6BC6" w:rsidRDefault="004C6BC6" w:rsidP="004C6BC6">
      <w:pPr>
        <w:jc w:val="center"/>
        <w:rPr>
          <w:b/>
          <w:color w:val="EE7624"/>
          <w:sz w:val="56"/>
          <w:szCs w:val="56"/>
        </w:rPr>
      </w:pPr>
    </w:p>
    <w:p w14:paraId="0C4C0E0D" w14:textId="77777777" w:rsidR="004C6BC6" w:rsidRDefault="004C6BC6" w:rsidP="004C6BC6">
      <w:pPr>
        <w:jc w:val="center"/>
        <w:rPr>
          <w:b/>
          <w:color w:val="EE7624"/>
          <w:sz w:val="56"/>
          <w:szCs w:val="56"/>
        </w:rPr>
      </w:pPr>
      <w:r w:rsidRPr="00854392">
        <w:rPr>
          <w:b/>
          <w:color w:val="EE7624"/>
          <w:sz w:val="56"/>
          <w:szCs w:val="56"/>
        </w:rPr>
        <w:t xml:space="preserve"> </w:t>
      </w:r>
      <w:r>
        <w:rPr>
          <w:b/>
          <w:color w:val="EE7624"/>
          <w:sz w:val="56"/>
          <w:szCs w:val="56"/>
        </w:rPr>
        <w:t>April 2019</w:t>
      </w:r>
    </w:p>
    <w:p w14:paraId="2B1D7F5E" w14:textId="227FAF8E" w:rsidR="004C6BC6" w:rsidRDefault="004C6BC6">
      <w:pPr>
        <w:spacing w:after="0"/>
        <w:rPr>
          <w:color w:val="auto"/>
        </w:rPr>
      </w:pPr>
      <w:r>
        <w:rPr>
          <w:color w:val="auto"/>
        </w:rPr>
        <w:br w:type="page"/>
      </w:r>
    </w:p>
    <w:sdt>
      <w:sdtPr>
        <w:rPr>
          <w:rFonts w:ascii="Arial" w:hAnsi="Arial"/>
          <w:bCs w:val="0"/>
          <w:color w:val="52555B"/>
          <w:sz w:val="20"/>
          <w:szCs w:val="24"/>
        </w:rPr>
        <w:id w:val="-642495926"/>
        <w:docPartObj>
          <w:docPartGallery w:val="Table of Contents"/>
          <w:docPartUnique/>
        </w:docPartObj>
      </w:sdtPr>
      <w:sdtEndPr>
        <w:rPr>
          <w:b/>
          <w:noProof/>
          <w:color w:val="auto"/>
        </w:rPr>
      </w:sdtEndPr>
      <w:sdtContent>
        <w:p w14:paraId="23299F5D" w14:textId="66330D81" w:rsidR="00DA3FCE" w:rsidRPr="00E82F95" w:rsidRDefault="00DA3FCE" w:rsidP="000C6773">
          <w:pPr>
            <w:pStyle w:val="TOCHeading"/>
            <w:rPr>
              <w:rFonts w:ascii="Arial" w:hAnsi="Arial" w:cs="Arial"/>
              <w:b/>
              <w:color w:val="auto"/>
            </w:rPr>
          </w:pPr>
          <w:r w:rsidRPr="00E82F95">
            <w:rPr>
              <w:rFonts w:ascii="Arial" w:hAnsi="Arial" w:cs="Arial"/>
              <w:b/>
              <w:color w:val="auto"/>
            </w:rPr>
            <w:t>Table of Contents</w:t>
          </w:r>
        </w:p>
        <w:p w14:paraId="12365CD8" w14:textId="271084BC" w:rsidR="002F7AE7" w:rsidRDefault="00242EBE">
          <w:pPr>
            <w:pStyle w:val="TOC1"/>
            <w:rPr>
              <w:rFonts w:asciiTheme="minorHAnsi" w:hAnsiTheme="minorHAnsi"/>
              <w:b w:val="0"/>
              <w:bCs w:val="0"/>
              <w:caps w:val="0"/>
              <w:sz w:val="22"/>
              <w:szCs w:val="22"/>
            </w:rPr>
          </w:pPr>
          <w:r>
            <w:fldChar w:fldCharType="begin"/>
          </w:r>
          <w:r>
            <w:instrText xml:space="preserve"> TOC \o "1-3" \h \z \u </w:instrText>
          </w:r>
          <w:r>
            <w:fldChar w:fldCharType="separate"/>
          </w:r>
          <w:hyperlink w:anchor="_Toc6998645" w:history="1">
            <w:r w:rsidR="002F7AE7" w:rsidRPr="00A246C5">
              <w:rPr>
                <w:rStyle w:val="Hyperlink"/>
              </w:rPr>
              <w:t>1.</w:t>
            </w:r>
            <w:r w:rsidR="002F7AE7">
              <w:rPr>
                <w:rFonts w:asciiTheme="minorHAnsi" w:hAnsiTheme="minorHAnsi"/>
                <w:b w:val="0"/>
                <w:bCs w:val="0"/>
                <w:caps w:val="0"/>
                <w:sz w:val="22"/>
                <w:szCs w:val="22"/>
              </w:rPr>
              <w:tab/>
            </w:r>
            <w:r w:rsidR="002F7AE7" w:rsidRPr="00A246C5">
              <w:rPr>
                <w:rStyle w:val="Hyperlink"/>
              </w:rPr>
              <w:t>Introduction</w:t>
            </w:r>
            <w:r w:rsidR="002F7AE7">
              <w:rPr>
                <w:webHidden/>
              </w:rPr>
              <w:tab/>
            </w:r>
            <w:r w:rsidR="002F7AE7">
              <w:rPr>
                <w:webHidden/>
              </w:rPr>
              <w:fldChar w:fldCharType="begin"/>
            </w:r>
            <w:r w:rsidR="002F7AE7">
              <w:rPr>
                <w:webHidden/>
              </w:rPr>
              <w:instrText xml:space="preserve"> PAGEREF _Toc6998645 \h </w:instrText>
            </w:r>
            <w:r w:rsidR="002F7AE7">
              <w:rPr>
                <w:webHidden/>
              </w:rPr>
            </w:r>
            <w:r w:rsidR="002F7AE7">
              <w:rPr>
                <w:webHidden/>
              </w:rPr>
              <w:fldChar w:fldCharType="separate"/>
            </w:r>
            <w:r w:rsidR="002F7AE7">
              <w:rPr>
                <w:webHidden/>
              </w:rPr>
              <w:t>4</w:t>
            </w:r>
            <w:r w:rsidR="002F7AE7">
              <w:rPr>
                <w:webHidden/>
              </w:rPr>
              <w:fldChar w:fldCharType="end"/>
            </w:r>
          </w:hyperlink>
        </w:p>
        <w:p w14:paraId="4A9495B2" w14:textId="0BD406B9" w:rsidR="002F7AE7" w:rsidRDefault="00CF1416">
          <w:pPr>
            <w:pStyle w:val="TOC1"/>
            <w:rPr>
              <w:rFonts w:asciiTheme="minorHAnsi" w:hAnsiTheme="minorHAnsi"/>
              <w:b w:val="0"/>
              <w:bCs w:val="0"/>
              <w:caps w:val="0"/>
              <w:sz w:val="22"/>
              <w:szCs w:val="22"/>
            </w:rPr>
          </w:pPr>
          <w:hyperlink w:anchor="_Toc6998646" w:history="1">
            <w:r w:rsidR="002F7AE7" w:rsidRPr="00A246C5">
              <w:rPr>
                <w:rStyle w:val="Hyperlink"/>
              </w:rPr>
              <w:t>2.</w:t>
            </w:r>
            <w:r w:rsidR="002F7AE7">
              <w:rPr>
                <w:rFonts w:asciiTheme="minorHAnsi" w:hAnsiTheme="minorHAnsi"/>
                <w:b w:val="0"/>
                <w:bCs w:val="0"/>
                <w:caps w:val="0"/>
                <w:sz w:val="22"/>
                <w:szCs w:val="22"/>
              </w:rPr>
              <w:tab/>
            </w:r>
            <w:r w:rsidR="002F7AE7" w:rsidRPr="00A246C5">
              <w:rPr>
                <w:rStyle w:val="Hyperlink"/>
              </w:rPr>
              <w:t>Purpose</w:t>
            </w:r>
            <w:r w:rsidR="002F7AE7">
              <w:rPr>
                <w:webHidden/>
              </w:rPr>
              <w:tab/>
            </w:r>
            <w:r w:rsidR="002F7AE7">
              <w:rPr>
                <w:webHidden/>
              </w:rPr>
              <w:fldChar w:fldCharType="begin"/>
            </w:r>
            <w:r w:rsidR="002F7AE7">
              <w:rPr>
                <w:webHidden/>
              </w:rPr>
              <w:instrText xml:space="preserve"> PAGEREF _Toc6998646 \h </w:instrText>
            </w:r>
            <w:r w:rsidR="002F7AE7">
              <w:rPr>
                <w:webHidden/>
              </w:rPr>
            </w:r>
            <w:r w:rsidR="002F7AE7">
              <w:rPr>
                <w:webHidden/>
              </w:rPr>
              <w:fldChar w:fldCharType="separate"/>
            </w:r>
            <w:r w:rsidR="002F7AE7">
              <w:rPr>
                <w:webHidden/>
              </w:rPr>
              <w:t>4</w:t>
            </w:r>
            <w:r w:rsidR="002F7AE7">
              <w:rPr>
                <w:webHidden/>
              </w:rPr>
              <w:fldChar w:fldCharType="end"/>
            </w:r>
          </w:hyperlink>
        </w:p>
        <w:p w14:paraId="413FB597" w14:textId="2D104D1A" w:rsidR="002F7AE7" w:rsidRDefault="00CF1416">
          <w:pPr>
            <w:pStyle w:val="TOC1"/>
            <w:rPr>
              <w:rFonts w:asciiTheme="minorHAnsi" w:hAnsiTheme="minorHAnsi"/>
              <w:b w:val="0"/>
              <w:bCs w:val="0"/>
              <w:caps w:val="0"/>
              <w:sz w:val="22"/>
              <w:szCs w:val="22"/>
            </w:rPr>
          </w:pPr>
          <w:hyperlink w:anchor="_Toc6998647" w:history="1">
            <w:r w:rsidR="002F7AE7" w:rsidRPr="00A246C5">
              <w:rPr>
                <w:rStyle w:val="Hyperlink"/>
              </w:rPr>
              <w:t>3.</w:t>
            </w:r>
            <w:r w:rsidR="002F7AE7">
              <w:rPr>
                <w:rFonts w:asciiTheme="minorHAnsi" w:hAnsiTheme="minorHAnsi"/>
                <w:b w:val="0"/>
                <w:bCs w:val="0"/>
                <w:caps w:val="0"/>
                <w:sz w:val="22"/>
                <w:szCs w:val="22"/>
              </w:rPr>
              <w:tab/>
            </w:r>
            <w:r w:rsidR="002F7AE7" w:rsidRPr="00A246C5">
              <w:rPr>
                <w:rStyle w:val="Hyperlink"/>
              </w:rPr>
              <w:t>Background</w:t>
            </w:r>
            <w:r w:rsidR="002F7AE7">
              <w:rPr>
                <w:webHidden/>
              </w:rPr>
              <w:tab/>
            </w:r>
            <w:r w:rsidR="002F7AE7">
              <w:rPr>
                <w:webHidden/>
              </w:rPr>
              <w:fldChar w:fldCharType="begin"/>
            </w:r>
            <w:r w:rsidR="002F7AE7">
              <w:rPr>
                <w:webHidden/>
              </w:rPr>
              <w:instrText xml:space="preserve"> PAGEREF _Toc6998647 \h </w:instrText>
            </w:r>
            <w:r w:rsidR="002F7AE7">
              <w:rPr>
                <w:webHidden/>
              </w:rPr>
            </w:r>
            <w:r w:rsidR="002F7AE7">
              <w:rPr>
                <w:webHidden/>
              </w:rPr>
              <w:fldChar w:fldCharType="separate"/>
            </w:r>
            <w:r w:rsidR="002F7AE7">
              <w:rPr>
                <w:webHidden/>
              </w:rPr>
              <w:t>4</w:t>
            </w:r>
            <w:r w:rsidR="002F7AE7">
              <w:rPr>
                <w:webHidden/>
              </w:rPr>
              <w:fldChar w:fldCharType="end"/>
            </w:r>
          </w:hyperlink>
        </w:p>
        <w:p w14:paraId="44263939" w14:textId="2B23625B" w:rsidR="002F7AE7" w:rsidRDefault="00CF1416">
          <w:pPr>
            <w:pStyle w:val="TOC2"/>
            <w:rPr>
              <w:rFonts w:asciiTheme="minorHAnsi" w:hAnsiTheme="minorHAnsi"/>
              <w:bCs w:val="0"/>
              <w:sz w:val="22"/>
              <w:szCs w:val="22"/>
            </w:rPr>
          </w:pPr>
          <w:hyperlink w:anchor="_Toc6998648" w:history="1">
            <w:r w:rsidR="002F7AE7" w:rsidRPr="00A246C5">
              <w:rPr>
                <w:rStyle w:val="Hyperlink"/>
              </w:rPr>
              <w:t>3.1.</w:t>
            </w:r>
            <w:r w:rsidR="002F7AE7">
              <w:rPr>
                <w:rFonts w:asciiTheme="minorHAnsi" w:hAnsiTheme="minorHAnsi"/>
                <w:bCs w:val="0"/>
                <w:sz w:val="22"/>
                <w:szCs w:val="22"/>
              </w:rPr>
              <w:tab/>
            </w:r>
            <w:r w:rsidR="002F7AE7" w:rsidRPr="00A246C5">
              <w:rPr>
                <w:rStyle w:val="Hyperlink"/>
              </w:rPr>
              <w:t>The College’s role in quality</w:t>
            </w:r>
            <w:r w:rsidR="002F7AE7">
              <w:rPr>
                <w:webHidden/>
              </w:rPr>
              <w:tab/>
            </w:r>
            <w:r w:rsidR="002F7AE7">
              <w:rPr>
                <w:webHidden/>
              </w:rPr>
              <w:fldChar w:fldCharType="begin"/>
            </w:r>
            <w:r w:rsidR="002F7AE7">
              <w:rPr>
                <w:webHidden/>
              </w:rPr>
              <w:instrText xml:space="preserve"> PAGEREF _Toc6998648 \h </w:instrText>
            </w:r>
            <w:r w:rsidR="002F7AE7">
              <w:rPr>
                <w:webHidden/>
              </w:rPr>
            </w:r>
            <w:r w:rsidR="002F7AE7">
              <w:rPr>
                <w:webHidden/>
              </w:rPr>
              <w:fldChar w:fldCharType="separate"/>
            </w:r>
            <w:r w:rsidR="002F7AE7">
              <w:rPr>
                <w:webHidden/>
              </w:rPr>
              <w:t>4</w:t>
            </w:r>
            <w:r w:rsidR="002F7AE7">
              <w:rPr>
                <w:webHidden/>
              </w:rPr>
              <w:fldChar w:fldCharType="end"/>
            </w:r>
          </w:hyperlink>
        </w:p>
        <w:p w14:paraId="096E119B" w14:textId="7DFD516B" w:rsidR="002F7AE7" w:rsidRDefault="00CF1416">
          <w:pPr>
            <w:pStyle w:val="TOC2"/>
            <w:rPr>
              <w:rFonts w:asciiTheme="minorHAnsi" w:hAnsiTheme="minorHAnsi"/>
              <w:bCs w:val="0"/>
              <w:sz w:val="22"/>
              <w:szCs w:val="22"/>
            </w:rPr>
          </w:pPr>
          <w:hyperlink w:anchor="_Toc6998649" w:history="1">
            <w:r w:rsidR="002F7AE7" w:rsidRPr="00A246C5">
              <w:rPr>
                <w:rStyle w:val="Hyperlink"/>
              </w:rPr>
              <w:t>3.2.</w:t>
            </w:r>
            <w:r w:rsidR="002F7AE7">
              <w:rPr>
                <w:rFonts w:asciiTheme="minorHAnsi" w:hAnsiTheme="minorHAnsi"/>
                <w:bCs w:val="0"/>
                <w:sz w:val="22"/>
                <w:szCs w:val="22"/>
              </w:rPr>
              <w:tab/>
            </w:r>
            <w:r w:rsidR="002F7AE7" w:rsidRPr="00A246C5">
              <w:rPr>
                <w:rStyle w:val="Hyperlink"/>
              </w:rPr>
              <w:t>College Board decisions</w:t>
            </w:r>
            <w:r w:rsidR="002F7AE7">
              <w:rPr>
                <w:webHidden/>
              </w:rPr>
              <w:tab/>
            </w:r>
            <w:r w:rsidR="002F7AE7">
              <w:rPr>
                <w:webHidden/>
              </w:rPr>
              <w:fldChar w:fldCharType="begin"/>
            </w:r>
            <w:r w:rsidR="002F7AE7">
              <w:rPr>
                <w:webHidden/>
              </w:rPr>
              <w:instrText xml:space="preserve"> PAGEREF _Toc6998649 \h </w:instrText>
            </w:r>
            <w:r w:rsidR="002F7AE7">
              <w:rPr>
                <w:webHidden/>
              </w:rPr>
            </w:r>
            <w:r w:rsidR="002F7AE7">
              <w:rPr>
                <w:webHidden/>
              </w:rPr>
              <w:fldChar w:fldCharType="separate"/>
            </w:r>
            <w:r w:rsidR="002F7AE7">
              <w:rPr>
                <w:webHidden/>
              </w:rPr>
              <w:t>4</w:t>
            </w:r>
            <w:r w:rsidR="002F7AE7">
              <w:rPr>
                <w:webHidden/>
              </w:rPr>
              <w:fldChar w:fldCharType="end"/>
            </w:r>
          </w:hyperlink>
        </w:p>
        <w:p w14:paraId="5EA62F3D" w14:textId="744C539E" w:rsidR="002F7AE7" w:rsidRDefault="00CF1416">
          <w:pPr>
            <w:pStyle w:val="TOC2"/>
            <w:rPr>
              <w:rFonts w:asciiTheme="minorHAnsi" w:hAnsiTheme="minorHAnsi"/>
              <w:bCs w:val="0"/>
              <w:sz w:val="22"/>
              <w:szCs w:val="22"/>
            </w:rPr>
          </w:pPr>
          <w:hyperlink w:anchor="_Toc6998650" w:history="1">
            <w:r w:rsidR="002F7AE7" w:rsidRPr="00A246C5">
              <w:rPr>
                <w:rStyle w:val="Hyperlink"/>
              </w:rPr>
              <w:t>3.3.</w:t>
            </w:r>
            <w:r w:rsidR="002F7AE7">
              <w:rPr>
                <w:rFonts w:asciiTheme="minorHAnsi" w:hAnsiTheme="minorHAnsi"/>
                <w:bCs w:val="0"/>
                <w:sz w:val="22"/>
                <w:szCs w:val="22"/>
              </w:rPr>
              <w:tab/>
            </w:r>
            <w:r w:rsidR="002F7AE7" w:rsidRPr="00A246C5">
              <w:rPr>
                <w:rStyle w:val="Hyperlink"/>
              </w:rPr>
              <w:t>Modular design of new quality framework</w:t>
            </w:r>
            <w:r w:rsidR="002F7AE7">
              <w:rPr>
                <w:webHidden/>
              </w:rPr>
              <w:tab/>
            </w:r>
            <w:r w:rsidR="002F7AE7">
              <w:rPr>
                <w:webHidden/>
              </w:rPr>
              <w:fldChar w:fldCharType="begin"/>
            </w:r>
            <w:r w:rsidR="002F7AE7">
              <w:rPr>
                <w:webHidden/>
              </w:rPr>
              <w:instrText xml:space="preserve"> PAGEREF _Toc6998650 \h </w:instrText>
            </w:r>
            <w:r w:rsidR="002F7AE7">
              <w:rPr>
                <w:webHidden/>
              </w:rPr>
            </w:r>
            <w:r w:rsidR="002F7AE7">
              <w:rPr>
                <w:webHidden/>
              </w:rPr>
              <w:fldChar w:fldCharType="separate"/>
            </w:r>
            <w:r w:rsidR="002F7AE7">
              <w:rPr>
                <w:webHidden/>
              </w:rPr>
              <w:t>5</w:t>
            </w:r>
            <w:r w:rsidR="002F7AE7">
              <w:rPr>
                <w:webHidden/>
              </w:rPr>
              <w:fldChar w:fldCharType="end"/>
            </w:r>
          </w:hyperlink>
        </w:p>
        <w:p w14:paraId="286F1F63" w14:textId="4D0EE002" w:rsidR="002F7AE7" w:rsidRDefault="00CF1416">
          <w:pPr>
            <w:pStyle w:val="TOC1"/>
            <w:rPr>
              <w:rFonts w:asciiTheme="minorHAnsi" w:hAnsiTheme="minorHAnsi"/>
              <w:b w:val="0"/>
              <w:bCs w:val="0"/>
              <w:caps w:val="0"/>
              <w:sz w:val="22"/>
              <w:szCs w:val="22"/>
            </w:rPr>
          </w:pPr>
          <w:hyperlink w:anchor="_Toc6998651" w:history="1">
            <w:r w:rsidR="002F7AE7" w:rsidRPr="00A246C5">
              <w:rPr>
                <w:rStyle w:val="Hyperlink"/>
              </w:rPr>
              <w:t>4.</w:t>
            </w:r>
            <w:r w:rsidR="002F7AE7">
              <w:rPr>
                <w:rFonts w:asciiTheme="minorHAnsi" w:hAnsiTheme="minorHAnsi"/>
                <w:b w:val="0"/>
                <w:bCs w:val="0"/>
                <w:caps w:val="0"/>
                <w:sz w:val="22"/>
                <w:szCs w:val="22"/>
              </w:rPr>
              <w:tab/>
            </w:r>
            <w:r w:rsidR="002F7AE7" w:rsidRPr="00A246C5">
              <w:rPr>
                <w:rStyle w:val="Hyperlink"/>
              </w:rPr>
              <w:t>How to use the Foundation Standard indicators and criteria</w:t>
            </w:r>
            <w:r w:rsidR="002F7AE7">
              <w:rPr>
                <w:webHidden/>
              </w:rPr>
              <w:tab/>
            </w:r>
            <w:r w:rsidR="002F7AE7">
              <w:rPr>
                <w:webHidden/>
              </w:rPr>
              <w:fldChar w:fldCharType="begin"/>
            </w:r>
            <w:r w:rsidR="002F7AE7">
              <w:rPr>
                <w:webHidden/>
              </w:rPr>
              <w:instrText xml:space="preserve"> PAGEREF _Toc6998651 \h </w:instrText>
            </w:r>
            <w:r w:rsidR="002F7AE7">
              <w:rPr>
                <w:webHidden/>
              </w:rPr>
            </w:r>
            <w:r w:rsidR="002F7AE7">
              <w:rPr>
                <w:webHidden/>
              </w:rPr>
              <w:fldChar w:fldCharType="separate"/>
            </w:r>
            <w:r w:rsidR="002F7AE7">
              <w:rPr>
                <w:webHidden/>
              </w:rPr>
              <w:t>6</w:t>
            </w:r>
            <w:r w:rsidR="002F7AE7">
              <w:rPr>
                <w:webHidden/>
              </w:rPr>
              <w:fldChar w:fldCharType="end"/>
            </w:r>
          </w:hyperlink>
        </w:p>
        <w:p w14:paraId="4A13E5D7" w14:textId="407DCE07" w:rsidR="002F7AE7" w:rsidRDefault="00CF1416">
          <w:pPr>
            <w:pStyle w:val="TOC1"/>
            <w:rPr>
              <w:rFonts w:asciiTheme="minorHAnsi" w:hAnsiTheme="minorHAnsi"/>
              <w:b w:val="0"/>
              <w:bCs w:val="0"/>
              <w:caps w:val="0"/>
              <w:sz w:val="22"/>
              <w:szCs w:val="22"/>
            </w:rPr>
          </w:pPr>
          <w:hyperlink w:anchor="_Toc6998652" w:history="1">
            <w:r w:rsidR="002F7AE7" w:rsidRPr="00A246C5">
              <w:rPr>
                <w:rStyle w:val="Hyperlink"/>
              </w:rPr>
              <w:t>Draft Foundation Standard Module</w:t>
            </w:r>
            <w:r w:rsidR="002F7AE7">
              <w:rPr>
                <w:webHidden/>
              </w:rPr>
              <w:tab/>
            </w:r>
            <w:r w:rsidR="002F7AE7">
              <w:rPr>
                <w:webHidden/>
              </w:rPr>
              <w:fldChar w:fldCharType="begin"/>
            </w:r>
            <w:r w:rsidR="002F7AE7">
              <w:rPr>
                <w:webHidden/>
              </w:rPr>
              <w:instrText xml:space="preserve"> PAGEREF _Toc6998652 \h </w:instrText>
            </w:r>
            <w:r w:rsidR="002F7AE7">
              <w:rPr>
                <w:webHidden/>
              </w:rPr>
            </w:r>
            <w:r w:rsidR="002F7AE7">
              <w:rPr>
                <w:webHidden/>
              </w:rPr>
              <w:fldChar w:fldCharType="separate"/>
            </w:r>
            <w:r w:rsidR="002F7AE7">
              <w:rPr>
                <w:webHidden/>
              </w:rPr>
              <w:t>7</w:t>
            </w:r>
            <w:r w:rsidR="002F7AE7">
              <w:rPr>
                <w:webHidden/>
              </w:rPr>
              <w:fldChar w:fldCharType="end"/>
            </w:r>
          </w:hyperlink>
        </w:p>
        <w:p w14:paraId="786550E1" w14:textId="70C7E9AD" w:rsidR="002F7AE7" w:rsidRDefault="00CF1416">
          <w:pPr>
            <w:pStyle w:val="TOC1"/>
            <w:rPr>
              <w:rFonts w:asciiTheme="minorHAnsi" w:hAnsiTheme="minorHAnsi"/>
              <w:b w:val="0"/>
              <w:bCs w:val="0"/>
              <w:caps w:val="0"/>
              <w:sz w:val="22"/>
              <w:szCs w:val="22"/>
            </w:rPr>
          </w:pPr>
          <w:hyperlink w:anchor="_Toc6998653" w:history="1">
            <w:r w:rsidR="002F7AE7" w:rsidRPr="00A246C5">
              <w:rPr>
                <w:rStyle w:val="Hyperlink"/>
              </w:rPr>
              <w:t>Section 1: Tikanga tūroro | Patient rights</w:t>
            </w:r>
            <w:r w:rsidR="002F7AE7">
              <w:rPr>
                <w:webHidden/>
              </w:rPr>
              <w:tab/>
            </w:r>
            <w:r w:rsidR="002F7AE7">
              <w:rPr>
                <w:webHidden/>
              </w:rPr>
              <w:fldChar w:fldCharType="begin"/>
            </w:r>
            <w:r w:rsidR="002F7AE7">
              <w:rPr>
                <w:webHidden/>
              </w:rPr>
              <w:instrText xml:space="preserve"> PAGEREF _Toc6998653 \h </w:instrText>
            </w:r>
            <w:r w:rsidR="002F7AE7">
              <w:rPr>
                <w:webHidden/>
              </w:rPr>
            </w:r>
            <w:r w:rsidR="002F7AE7">
              <w:rPr>
                <w:webHidden/>
              </w:rPr>
              <w:fldChar w:fldCharType="separate"/>
            </w:r>
            <w:r w:rsidR="002F7AE7">
              <w:rPr>
                <w:webHidden/>
              </w:rPr>
              <w:t>8</w:t>
            </w:r>
            <w:r w:rsidR="002F7AE7">
              <w:rPr>
                <w:webHidden/>
              </w:rPr>
              <w:fldChar w:fldCharType="end"/>
            </w:r>
          </w:hyperlink>
        </w:p>
        <w:p w14:paraId="61DCB788" w14:textId="17C831B3" w:rsidR="002F7AE7" w:rsidRDefault="00CF1416">
          <w:pPr>
            <w:pStyle w:val="TOC2"/>
            <w:rPr>
              <w:rFonts w:asciiTheme="minorHAnsi" w:hAnsiTheme="minorHAnsi"/>
              <w:bCs w:val="0"/>
              <w:sz w:val="22"/>
              <w:szCs w:val="22"/>
            </w:rPr>
          </w:pPr>
          <w:hyperlink w:anchor="_Toc6998654" w:history="1">
            <w:r w:rsidR="002F7AE7" w:rsidRPr="00A246C5">
              <w:rPr>
                <w:rStyle w:val="Hyperlink"/>
              </w:rPr>
              <w:t>Indicator 1:</w:t>
            </w:r>
            <w:r w:rsidR="002F7AE7">
              <w:rPr>
                <w:rFonts w:asciiTheme="minorHAnsi" w:hAnsiTheme="minorHAnsi"/>
                <w:bCs w:val="0"/>
                <w:sz w:val="22"/>
                <w:szCs w:val="22"/>
              </w:rPr>
              <w:tab/>
            </w:r>
            <w:r w:rsidR="002F7AE7" w:rsidRPr="00A246C5">
              <w:rPr>
                <w:rStyle w:val="Hyperlink"/>
              </w:rPr>
              <w:t>Code of Health and Disability Services Consumers’ Rights 1996.</w:t>
            </w:r>
            <w:r w:rsidR="002F7AE7">
              <w:rPr>
                <w:webHidden/>
              </w:rPr>
              <w:tab/>
            </w:r>
            <w:r w:rsidR="002F7AE7">
              <w:rPr>
                <w:webHidden/>
              </w:rPr>
              <w:fldChar w:fldCharType="begin"/>
            </w:r>
            <w:r w:rsidR="002F7AE7">
              <w:rPr>
                <w:webHidden/>
              </w:rPr>
              <w:instrText xml:space="preserve"> PAGEREF _Toc6998654 \h </w:instrText>
            </w:r>
            <w:r w:rsidR="002F7AE7">
              <w:rPr>
                <w:webHidden/>
              </w:rPr>
            </w:r>
            <w:r w:rsidR="002F7AE7">
              <w:rPr>
                <w:webHidden/>
              </w:rPr>
              <w:fldChar w:fldCharType="separate"/>
            </w:r>
            <w:r w:rsidR="002F7AE7">
              <w:rPr>
                <w:webHidden/>
              </w:rPr>
              <w:t>9</w:t>
            </w:r>
            <w:r w:rsidR="002F7AE7">
              <w:rPr>
                <w:webHidden/>
              </w:rPr>
              <w:fldChar w:fldCharType="end"/>
            </w:r>
          </w:hyperlink>
        </w:p>
        <w:p w14:paraId="6B79B68B" w14:textId="453E11BD" w:rsidR="002F7AE7" w:rsidRDefault="00CF1416">
          <w:pPr>
            <w:pStyle w:val="TOC2"/>
            <w:rPr>
              <w:rFonts w:asciiTheme="minorHAnsi" w:hAnsiTheme="minorHAnsi"/>
              <w:bCs w:val="0"/>
              <w:sz w:val="22"/>
              <w:szCs w:val="22"/>
            </w:rPr>
          </w:pPr>
          <w:hyperlink w:anchor="_Toc6998655" w:history="1">
            <w:r w:rsidR="002F7AE7" w:rsidRPr="00A246C5">
              <w:rPr>
                <w:rStyle w:val="Hyperlink"/>
              </w:rPr>
              <w:t xml:space="preserve">Indicator 2. </w:t>
            </w:r>
            <w:r w:rsidR="002F7AE7">
              <w:rPr>
                <w:rFonts w:asciiTheme="minorHAnsi" w:hAnsiTheme="minorHAnsi"/>
                <w:bCs w:val="0"/>
                <w:sz w:val="22"/>
                <w:szCs w:val="22"/>
              </w:rPr>
              <w:tab/>
            </w:r>
            <w:r w:rsidR="002F7AE7" w:rsidRPr="00A246C5">
              <w:rPr>
                <w:rStyle w:val="Hyperlink"/>
              </w:rPr>
              <w:t>Open Disclosure</w:t>
            </w:r>
            <w:r w:rsidR="002F7AE7">
              <w:rPr>
                <w:webHidden/>
              </w:rPr>
              <w:tab/>
            </w:r>
            <w:r w:rsidR="002F7AE7">
              <w:rPr>
                <w:webHidden/>
              </w:rPr>
              <w:fldChar w:fldCharType="begin"/>
            </w:r>
            <w:r w:rsidR="002F7AE7">
              <w:rPr>
                <w:webHidden/>
              </w:rPr>
              <w:instrText xml:space="preserve"> PAGEREF _Toc6998655 \h </w:instrText>
            </w:r>
            <w:r w:rsidR="002F7AE7">
              <w:rPr>
                <w:webHidden/>
              </w:rPr>
            </w:r>
            <w:r w:rsidR="002F7AE7">
              <w:rPr>
                <w:webHidden/>
              </w:rPr>
              <w:fldChar w:fldCharType="separate"/>
            </w:r>
            <w:r w:rsidR="002F7AE7">
              <w:rPr>
                <w:webHidden/>
              </w:rPr>
              <w:t>11</w:t>
            </w:r>
            <w:r w:rsidR="002F7AE7">
              <w:rPr>
                <w:webHidden/>
              </w:rPr>
              <w:fldChar w:fldCharType="end"/>
            </w:r>
          </w:hyperlink>
        </w:p>
        <w:p w14:paraId="375CE00B" w14:textId="0E5A7553" w:rsidR="002F7AE7" w:rsidRDefault="00CF1416">
          <w:pPr>
            <w:pStyle w:val="TOC2"/>
            <w:rPr>
              <w:rFonts w:asciiTheme="minorHAnsi" w:hAnsiTheme="minorHAnsi"/>
              <w:bCs w:val="0"/>
              <w:sz w:val="22"/>
              <w:szCs w:val="22"/>
            </w:rPr>
          </w:pPr>
          <w:hyperlink w:anchor="_Toc6998656" w:history="1">
            <w:r w:rsidR="002F7AE7" w:rsidRPr="00A246C5">
              <w:rPr>
                <w:rStyle w:val="Hyperlink"/>
              </w:rPr>
              <w:t xml:space="preserve">Indicator 3. </w:t>
            </w:r>
            <w:r w:rsidR="002F7AE7">
              <w:rPr>
                <w:rFonts w:asciiTheme="minorHAnsi" w:hAnsiTheme="minorHAnsi"/>
                <w:bCs w:val="0"/>
                <w:sz w:val="22"/>
                <w:szCs w:val="22"/>
              </w:rPr>
              <w:tab/>
            </w:r>
            <w:r w:rsidR="002F7AE7" w:rsidRPr="00A246C5">
              <w:rPr>
                <w:rStyle w:val="Hyperlink"/>
              </w:rPr>
              <w:t>Privacy Act 1993 and Health Information Privacy Code 1994.</w:t>
            </w:r>
            <w:r w:rsidR="002F7AE7">
              <w:rPr>
                <w:webHidden/>
              </w:rPr>
              <w:tab/>
            </w:r>
            <w:r w:rsidR="002F7AE7">
              <w:rPr>
                <w:webHidden/>
              </w:rPr>
              <w:fldChar w:fldCharType="begin"/>
            </w:r>
            <w:r w:rsidR="002F7AE7">
              <w:rPr>
                <w:webHidden/>
              </w:rPr>
              <w:instrText xml:space="preserve"> PAGEREF _Toc6998656 \h </w:instrText>
            </w:r>
            <w:r w:rsidR="002F7AE7">
              <w:rPr>
                <w:webHidden/>
              </w:rPr>
            </w:r>
            <w:r w:rsidR="002F7AE7">
              <w:rPr>
                <w:webHidden/>
              </w:rPr>
              <w:fldChar w:fldCharType="separate"/>
            </w:r>
            <w:r w:rsidR="002F7AE7">
              <w:rPr>
                <w:webHidden/>
              </w:rPr>
              <w:t>12</w:t>
            </w:r>
            <w:r w:rsidR="002F7AE7">
              <w:rPr>
                <w:webHidden/>
              </w:rPr>
              <w:fldChar w:fldCharType="end"/>
            </w:r>
          </w:hyperlink>
        </w:p>
        <w:p w14:paraId="010BCF0E" w14:textId="303074AB" w:rsidR="002F7AE7" w:rsidRDefault="00CF1416">
          <w:pPr>
            <w:pStyle w:val="TOC2"/>
            <w:rPr>
              <w:rFonts w:asciiTheme="minorHAnsi" w:hAnsiTheme="minorHAnsi"/>
              <w:bCs w:val="0"/>
              <w:sz w:val="22"/>
              <w:szCs w:val="22"/>
            </w:rPr>
          </w:pPr>
          <w:hyperlink w:anchor="_Toc6998657" w:history="1">
            <w:r w:rsidR="002F7AE7" w:rsidRPr="00A246C5">
              <w:rPr>
                <w:rStyle w:val="Hyperlink"/>
              </w:rPr>
              <w:t xml:space="preserve">Indicator 4. </w:t>
            </w:r>
            <w:r w:rsidR="002F7AE7">
              <w:rPr>
                <w:rFonts w:asciiTheme="minorHAnsi" w:hAnsiTheme="minorHAnsi"/>
                <w:bCs w:val="0"/>
                <w:sz w:val="22"/>
                <w:szCs w:val="22"/>
              </w:rPr>
              <w:tab/>
            </w:r>
            <w:r w:rsidR="002F7AE7" w:rsidRPr="00A246C5">
              <w:rPr>
                <w:rStyle w:val="Hyperlink"/>
              </w:rPr>
              <w:t>Complaints</w:t>
            </w:r>
            <w:r w:rsidR="002F7AE7">
              <w:rPr>
                <w:webHidden/>
              </w:rPr>
              <w:tab/>
            </w:r>
            <w:r w:rsidR="002F7AE7">
              <w:rPr>
                <w:webHidden/>
              </w:rPr>
              <w:fldChar w:fldCharType="begin"/>
            </w:r>
            <w:r w:rsidR="002F7AE7">
              <w:rPr>
                <w:webHidden/>
              </w:rPr>
              <w:instrText xml:space="preserve"> PAGEREF _Toc6998657 \h </w:instrText>
            </w:r>
            <w:r w:rsidR="002F7AE7">
              <w:rPr>
                <w:webHidden/>
              </w:rPr>
            </w:r>
            <w:r w:rsidR="002F7AE7">
              <w:rPr>
                <w:webHidden/>
              </w:rPr>
              <w:fldChar w:fldCharType="separate"/>
            </w:r>
            <w:r w:rsidR="002F7AE7">
              <w:rPr>
                <w:webHidden/>
              </w:rPr>
              <w:t>14</w:t>
            </w:r>
            <w:r w:rsidR="002F7AE7">
              <w:rPr>
                <w:webHidden/>
              </w:rPr>
              <w:fldChar w:fldCharType="end"/>
            </w:r>
          </w:hyperlink>
        </w:p>
        <w:p w14:paraId="3D130362" w14:textId="54D20574" w:rsidR="002F7AE7" w:rsidRDefault="00CF1416">
          <w:pPr>
            <w:pStyle w:val="TOC2"/>
            <w:rPr>
              <w:rFonts w:asciiTheme="minorHAnsi" w:hAnsiTheme="minorHAnsi"/>
              <w:bCs w:val="0"/>
              <w:sz w:val="22"/>
              <w:szCs w:val="22"/>
            </w:rPr>
          </w:pPr>
          <w:hyperlink w:anchor="_Toc6998658" w:history="1">
            <w:r w:rsidR="002F7AE7" w:rsidRPr="00A246C5">
              <w:rPr>
                <w:rStyle w:val="Hyperlink"/>
              </w:rPr>
              <w:t>Indicator 5.</w:t>
            </w:r>
            <w:r w:rsidR="002F7AE7">
              <w:rPr>
                <w:rFonts w:asciiTheme="minorHAnsi" w:hAnsiTheme="minorHAnsi"/>
                <w:bCs w:val="0"/>
                <w:sz w:val="22"/>
                <w:szCs w:val="22"/>
              </w:rPr>
              <w:tab/>
            </w:r>
            <w:r w:rsidR="002F7AE7" w:rsidRPr="00A246C5">
              <w:rPr>
                <w:rStyle w:val="Hyperlink"/>
              </w:rPr>
              <w:t>Informed decision making</w:t>
            </w:r>
            <w:r w:rsidR="002F7AE7">
              <w:rPr>
                <w:webHidden/>
              </w:rPr>
              <w:tab/>
            </w:r>
            <w:r w:rsidR="002F7AE7">
              <w:rPr>
                <w:webHidden/>
              </w:rPr>
              <w:fldChar w:fldCharType="begin"/>
            </w:r>
            <w:r w:rsidR="002F7AE7">
              <w:rPr>
                <w:webHidden/>
              </w:rPr>
              <w:instrText xml:space="preserve"> PAGEREF _Toc6998658 \h </w:instrText>
            </w:r>
            <w:r w:rsidR="002F7AE7">
              <w:rPr>
                <w:webHidden/>
              </w:rPr>
            </w:r>
            <w:r w:rsidR="002F7AE7">
              <w:rPr>
                <w:webHidden/>
              </w:rPr>
              <w:fldChar w:fldCharType="separate"/>
            </w:r>
            <w:r w:rsidR="002F7AE7">
              <w:rPr>
                <w:webHidden/>
              </w:rPr>
              <w:t>16</w:t>
            </w:r>
            <w:r w:rsidR="002F7AE7">
              <w:rPr>
                <w:webHidden/>
              </w:rPr>
              <w:fldChar w:fldCharType="end"/>
            </w:r>
          </w:hyperlink>
        </w:p>
        <w:p w14:paraId="1D75A264" w14:textId="094D62A7" w:rsidR="002F7AE7" w:rsidRDefault="00CF1416">
          <w:pPr>
            <w:pStyle w:val="TOC1"/>
            <w:rPr>
              <w:rFonts w:asciiTheme="minorHAnsi" w:hAnsiTheme="minorHAnsi"/>
              <w:b w:val="0"/>
              <w:bCs w:val="0"/>
              <w:caps w:val="0"/>
              <w:sz w:val="22"/>
              <w:szCs w:val="22"/>
            </w:rPr>
          </w:pPr>
          <w:hyperlink w:anchor="_Toc6998659" w:history="1">
            <w:r w:rsidR="002F7AE7" w:rsidRPr="00A246C5">
              <w:rPr>
                <w:rStyle w:val="Hyperlink"/>
              </w:rPr>
              <w:t>Section 2: Tikanga haumaru | Premise accessibility, safety and comfort</w:t>
            </w:r>
            <w:r w:rsidR="002F7AE7">
              <w:rPr>
                <w:webHidden/>
              </w:rPr>
              <w:tab/>
            </w:r>
            <w:r w:rsidR="002F7AE7">
              <w:rPr>
                <w:webHidden/>
              </w:rPr>
              <w:fldChar w:fldCharType="begin"/>
            </w:r>
            <w:r w:rsidR="002F7AE7">
              <w:rPr>
                <w:webHidden/>
              </w:rPr>
              <w:instrText xml:space="preserve"> PAGEREF _Toc6998659 \h </w:instrText>
            </w:r>
            <w:r w:rsidR="002F7AE7">
              <w:rPr>
                <w:webHidden/>
              </w:rPr>
            </w:r>
            <w:r w:rsidR="002F7AE7">
              <w:rPr>
                <w:webHidden/>
              </w:rPr>
              <w:fldChar w:fldCharType="separate"/>
            </w:r>
            <w:r w:rsidR="002F7AE7">
              <w:rPr>
                <w:webHidden/>
              </w:rPr>
              <w:t>18</w:t>
            </w:r>
            <w:r w:rsidR="002F7AE7">
              <w:rPr>
                <w:webHidden/>
              </w:rPr>
              <w:fldChar w:fldCharType="end"/>
            </w:r>
          </w:hyperlink>
        </w:p>
        <w:p w14:paraId="44E3A8D3" w14:textId="599A107A" w:rsidR="002F7AE7" w:rsidRDefault="00CF1416">
          <w:pPr>
            <w:pStyle w:val="TOC2"/>
            <w:rPr>
              <w:rFonts w:asciiTheme="minorHAnsi" w:hAnsiTheme="minorHAnsi"/>
              <w:bCs w:val="0"/>
              <w:sz w:val="22"/>
              <w:szCs w:val="22"/>
            </w:rPr>
          </w:pPr>
          <w:hyperlink w:anchor="_Toc6998660" w:history="1">
            <w:r w:rsidR="002F7AE7" w:rsidRPr="00A246C5">
              <w:rPr>
                <w:rStyle w:val="Hyperlink"/>
              </w:rPr>
              <w:t xml:space="preserve">Indicator 6. </w:t>
            </w:r>
            <w:r w:rsidR="002F7AE7">
              <w:rPr>
                <w:rFonts w:asciiTheme="minorHAnsi" w:hAnsiTheme="minorHAnsi"/>
                <w:bCs w:val="0"/>
                <w:sz w:val="22"/>
                <w:szCs w:val="22"/>
              </w:rPr>
              <w:tab/>
            </w:r>
            <w:r w:rsidR="002F7AE7" w:rsidRPr="00A246C5">
              <w:rPr>
                <w:rStyle w:val="Hyperlink"/>
              </w:rPr>
              <w:t>Premise accessibility</w:t>
            </w:r>
            <w:r w:rsidR="002F7AE7">
              <w:rPr>
                <w:webHidden/>
              </w:rPr>
              <w:tab/>
            </w:r>
            <w:r w:rsidR="002F7AE7">
              <w:rPr>
                <w:webHidden/>
              </w:rPr>
              <w:fldChar w:fldCharType="begin"/>
            </w:r>
            <w:r w:rsidR="002F7AE7">
              <w:rPr>
                <w:webHidden/>
              </w:rPr>
              <w:instrText xml:space="preserve"> PAGEREF _Toc6998660 \h </w:instrText>
            </w:r>
            <w:r w:rsidR="002F7AE7">
              <w:rPr>
                <w:webHidden/>
              </w:rPr>
            </w:r>
            <w:r w:rsidR="002F7AE7">
              <w:rPr>
                <w:webHidden/>
              </w:rPr>
              <w:fldChar w:fldCharType="separate"/>
            </w:r>
            <w:r w:rsidR="002F7AE7">
              <w:rPr>
                <w:webHidden/>
              </w:rPr>
              <w:t>19</w:t>
            </w:r>
            <w:r w:rsidR="002F7AE7">
              <w:rPr>
                <w:webHidden/>
              </w:rPr>
              <w:fldChar w:fldCharType="end"/>
            </w:r>
          </w:hyperlink>
        </w:p>
        <w:p w14:paraId="6CD07FF7" w14:textId="6760C786" w:rsidR="002F7AE7" w:rsidRDefault="00CF1416">
          <w:pPr>
            <w:pStyle w:val="TOC1"/>
            <w:rPr>
              <w:rFonts w:asciiTheme="minorHAnsi" w:hAnsiTheme="minorHAnsi"/>
              <w:b w:val="0"/>
              <w:bCs w:val="0"/>
              <w:caps w:val="0"/>
              <w:sz w:val="22"/>
              <w:szCs w:val="22"/>
            </w:rPr>
          </w:pPr>
          <w:hyperlink w:anchor="_Toc6998661" w:history="1">
            <w:r w:rsidR="002F7AE7" w:rsidRPr="00A246C5">
              <w:rPr>
                <w:rStyle w:val="Hyperlink"/>
              </w:rPr>
              <w:t>Section 3: Wheako whaiaro | Patient experience</w:t>
            </w:r>
            <w:r w:rsidR="002F7AE7">
              <w:rPr>
                <w:webHidden/>
              </w:rPr>
              <w:tab/>
            </w:r>
            <w:r w:rsidR="002F7AE7">
              <w:rPr>
                <w:webHidden/>
              </w:rPr>
              <w:fldChar w:fldCharType="begin"/>
            </w:r>
            <w:r w:rsidR="002F7AE7">
              <w:rPr>
                <w:webHidden/>
              </w:rPr>
              <w:instrText xml:space="preserve"> PAGEREF _Toc6998661 \h </w:instrText>
            </w:r>
            <w:r w:rsidR="002F7AE7">
              <w:rPr>
                <w:webHidden/>
              </w:rPr>
            </w:r>
            <w:r w:rsidR="002F7AE7">
              <w:rPr>
                <w:webHidden/>
              </w:rPr>
              <w:fldChar w:fldCharType="separate"/>
            </w:r>
            <w:r w:rsidR="002F7AE7">
              <w:rPr>
                <w:webHidden/>
              </w:rPr>
              <w:t>20</w:t>
            </w:r>
            <w:r w:rsidR="002F7AE7">
              <w:rPr>
                <w:webHidden/>
              </w:rPr>
              <w:fldChar w:fldCharType="end"/>
            </w:r>
          </w:hyperlink>
        </w:p>
        <w:p w14:paraId="15CA145A" w14:textId="667A638D" w:rsidR="002F7AE7" w:rsidRDefault="00CF1416">
          <w:pPr>
            <w:pStyle w:val="TOC2"/>
            <w:rPr>
              <w:rFonts w:asciiTheme="minorHAnsi" w:hAnsiTheme="minorHAnsi"/>
              <w:bCs w:val="0"/>
              <w:sz w:val="22"/>
              <w:szCs w:val="22"/>
            </w:rPr>
          </w:pPr>
          <w:hyperlink w:anchor="_Toc6998662" w:history="1">
            <w:r w:rsidR="002F7AE7" w:rsidRPr="00A246C5">
              <w:rPr>
                <w:rStyle w:val="Hyperlink"/>
              </w:rPr>
              <w:t xml:space="preserve">Indicator 7. </w:t>
            </w:r>
            <w:r w:rsidR="002F7AE7">
              <w:rPr>
                <w:rFonts w:asciiTheme="minorHAnsi" w:hAnsiTheme="minorHAnsi"/>
                <w:bCs w:val="0"/>
                <w:sz w:val="22"/>
                <w:szCs w:val="22"/>
              </w:rPr>
              <w:tab/>
            </w:r>
            <w:r w:rsidR="002F7AE7" w:rsidRPr="00A246C5">
              <w:rPr>
                <w:rStyle w:val="Hyperlink"/>
              </w:rPr>
              <w:t>Patient experiences</w:t>
            </w:r>
            <w:r w:rsidR="002F7AE7">
              <w:rPr>
                <w:webHidden/>
              </w:rPr>
              <w:tab/>
            </w:r>
            <w:r w:rsidR="002F7AE7">
              <w:rPr>
                <w:webHidden/>
              </w:rPr>
              <w:fldChar w:fldCharType="begin"/>
            </w:r>
            <w:r w:rsidR="002F7AE7">
              <w:rPr>
                <w:webHidden/>
              </w:rPr>
              <w:instrText xml:space="preserve"> PAGEREF _Toc6998662 \h </w:instrText>
            </w:r>
            <w:r w:rsidR="002F7AE7">
              <w:rPr>
                <w:webHidden/>
              </w:rPr>
            </w:r>
            <w:r w:rsidR="002F7AE7">
              <w:rPr>
                <w:webHidden/>
              </w:rPr>
              <w:fldChar w:fldCharType="separate"/>
            </w:r>
            <w:r w:rsidR="002F7AE7">
              <w:rPr>
                <w:webHidden/>
              </w:rPr>
              <w:t>21</w:t>
            </w:r>
            <w:r w:rsidR="002F7AE7">
              <w:rPr>
                <w:webHidden/>
              </w:rPr>
              <w:fldChar w:fldCharType="end"/>
            </w:r>
          </w:hyperlink>
        </w:p>
        <w:p w14:paraId="047B90A6" w14:textId="31DBAFC2" w:rsidR="002F7AE7" w:rsidRDefault="00CF1416">
          <w:pPr>
            <w:pStyle w:val="TOC1"/>
            <w:rPr>
              <w:rFonts w:asciiTheme="minorHAnsi" w:hAnsiTheme="minorHAnsi"/>
              <w:b w:val="0"/>
              <w:bCs w:val="0"/>
              <w:caps w:val="0"/>
              <w:sz w:val="22"/>
              <w:szCs w:val="22"/>
            </w:rPr>
          </w:pPr>
          <w:hyperlink w:anchor="_Toc6998663" w:history="1">
            <w:r w:rsidR="002F7AE7" w:rsidRPr="00A246C5">
              <w:rPr>
                <w:rStyle w:val="Hyperlink"/>
              </w:rPr>
              <w:t>Section 4: Tikanga Tangata | M</w:t>
            </w:r>
            <w:r w:rsidR="002F7AE7" w:rsidRPr="00A246C5">
              <w:rPr>
                <w:rStyle w:val="Hyperlink"/>
                <w:rFonts w:cs="Arial"/>
              </w:rPr>
              <w:t>ā</w:t>
            </w:r>
            <w:r w:rsidR="002F7AE7" w:rsidRPr="00A246C5">
              <w:rPr>
                <w:rStyle w:val="Hyperlink"/>
              </w:rPr>
              <w:t>ori rights, health needs and equity</w:t>
            </w:r>
            <w:r w:rsidR="002F7AE7">
              <w:rPr>
                <w:webHidden/>
              </w:rPr>
              <w:tab/>
            </w:r>
            <w:r w:rsidR="002F7AE7">
              <w:rPr>
                <w:webHidden/>
              </w:rPr>
              <w:fldChar w:fldCharType="begin"/>
            </w:r>
            <w:r w:rsidR="002F7AE7">
              <w:rPr>
                <w:webHidden/>
              </w:rPr>
              <w:instrText xml:space="preserve"> PAGEREF _Toc6998663 \h </w:instrText>
            </w:r>
            <w:r w:rsidR="002F7AE7">
              <w:rPr>
                <w:webHidden/>
              </w:rPr>
            </w:r>
            <w:r w:rsidR="002F7AE7">
              <w:rPr>
                <w:webHidden/>
              </w:rPr>
              <w:fldChar w:fldCharType="separate"/>
            </w:r>
            <w:r w:rsidR="002F7AE7">
              <w:rPr>
                <w:webHidden/>
              </w:rPr>
              <w:t>22</w:t>
            </w:r>
            <w:r w:rsidR="002F7AE7">
              <w:rPr>
                <w:webHidden/>
              </w:rPr>
              <w:fldChar w:fldCharType="end"/>
            </w:r>
          </w:hyperlink>
        </w:p>
        <w:p w14:paraId="1368DC84" w14:textId="4FF2EE84" w:rsidR="002F7AE7" w:rsidRDefault="00CF1416">
          <w:pPr>
            <w:pStyle w:val="TOC2"/>
            <w:rPr>
              <w:rFonts w:asciiTheme="minorHAnsi" w:hAnsiTheme="minorHAnsi"/>
              <w:bCs w:val="0"/>
              <w:sz w:val="22"/>
              <w:szCs w:val="22"/>
            </w:rPr>
          </w:pPr>
          <w:hyperlink w:anchor="_Toc6998664" w:history="1">
            <w:r w:rsidR="002F7AE7" w:rsidRPr="00A246C5">
              <w:rPr>
                <w:rStyle w:val="Hyperlink"/>
              </w:rPr>
              <w:t xml:space="preserve">Indicator 8. </w:t>
            </w:r>
            <w:r w:rsidR="002F7AE7">
              <w:rPr>
                <w:rFonts w:asciiTheme="minorHAnsi" w:hAnsiTheme="minorHAnsi"/>
                <w:bCs w:val="0"/>
                <w:sz w:val="22"/>
                <w:szCs w:val="22"/>
              </w:rPr>
              <w:tab/>
            </w:r>
            <w:r w:rsidR="002F7AE7" w:rsidRPr="00A246C5">
              <w:rPr>
                <w:rStyle w:val="Hyperlink"/>
              </w:rPr>
              <w:t>Rights and health needs of Māori</w:t>
            </w:r>
            <w:r w:rsidR="002F7AE7">
              <w:rPr>
                <w:webHidden/>
              </w:rPr>
              <w:tab/>
            </w:r>
            <w:r w:rsidR="002F7AE7">
              <w:rPr>
                <w:webHidden/>
              </w:rPr>
              <w:fldChar w:fldCharType="begin"/>
            </w:r>
            <w:r w:rsidR="002F7AE7">
              <w:rPr>
                <w:webHidden/>
              </w:rPr>
              <w:instrText xml:space="preserve"> PAGEREF _Toc6998664 \h </w:instrText>
            </w:r>
            <w:r w:rsidR="002F7AE7">
              <w:rPr>
                <w:webHidden/>
              </w:rPr>
            </w:r>
            <w:r w:rsidR="002F7AE7">
              <w:rPr>
                <w:webHidden/>
              </w:rPr>
              <w:fldChar w:fldCharType="separate"/>
            </w:r>
            <w:r w:rsidR="002F7AE7">
              <w:rPr>
                <w:webHidden/>
              </w:rPr>
              <w:t>23</w:t>
            </w:r>
            <w:r w:rsidR="002F7AE7">
              <w:rPr>
                <w:webHidden/>
              </w:rPr>
              <w:fldChar w:fldCharType="end"/>
            </w:r>
          </w:hyperlink>
        </w:p>
        <w:p w14:paraId="38E06DE0" w14:textId="5A6416F3" w:rsidR="002F7AE7" w:rsidRDefault="00CF1416">
          <w:pPr>
            <w:pStyle w:val="TOC1"/>
            <w:rPr>
              <w:rFonts w:asciiTheme="minorHAnsi" w:hAnsiTheme="minorHAnsi"/>
              <w:b w:val="0"/>
              <w:bCs w:val="0"/>
              <w:caps w:val="0"/>
              <w:sz w:val="22"/>
              <w:szCs w:val="22"/>
            </w:rPr>
          </w:pPr>
          <w:hyperlink w:anchor="_Toc6998665" w:history="1">
            <w:r w:rsidR="002F7AE7" w:rsidRPr="00A246C5">
              <w:rPr>
                <w:rStyle w:val="Hyperlink"/>
              </w:rPr>
              <w:t>Section 5: Tikanga ahurea | Population diversity</w:t>
            </w:r>
            <w:r w:rsidR="002F7AE7">
              <w:rPr>
                <w:webHidden/>
              </w:rPr>
              <w:tab/>
            </w:r>
            <w:r w:rsidR="002F7AE7">
              <w:rPr>
                <w:webHidden/>
              </w:rPr>
              <w:fldChar w:fldCharType="begin"/>
            </w:r>
            <w:r w:rsidR="002F7AE7">
              <w:rPr>
                <w:webHidden/>
              </w:rPr>
              <w:instrText xml:space="preserve"> PAGEREF _Toc6998665 \h </w:instrText>
            </w:r>
            <w:r w:rsidR="002F7AE7">
              <w:rPr>
                <w:webHidden/>
              </w:rPr>
            </w:r>
            <w:r w:rsidR="002F7AE7">
              <w:rPr>
                <w:webHidden/>
              </w:rPr>
              <w:fldChar w:fldCharType="separate"/>
            </w:r>
            <w:r w:rsidR="002F7AE7">
              <w:rPr>
                <w:webHidden/>
              </w:rPr>
              <w:t>25</w:t>
            </w:r>
            <w:r w:rsidR="002F7AE7">
              <w:rPr>
                <w:webHidden/>
              </w:rPr>
              <w:fldChar w:fldCharType="end"/>
            </w:r>
          </w:hyperlink>
        </w:p>
        <w:p w14:paraId="14E3ED84" w14:textId="76EF6BA3" w:rsidR="002F7AE7" w:rsidRDefault="00CF1416">
          <w:pPr>
            <w:pStyle w:val="TOC2"/>
            <w:rPr>
              <w:rFonts w:asciiTheme="minorHAnsi" w:hAnsiTheme="minorHAnsi"/>
              <w:bCs w:val="0"/>
              <w:sz w:val="22"/>
              <w:szCs w:val="22"/>
            </w:rPr>
          </w:pPr>
          <w:hyperlink w:anchor="_Toc6998666" w:history="1">
            <w:r w:rsidR="002F7AE7" w:rsidRPr="00A246C5">
              <w:rPr>
                <w:rStyle w:val="Hyperlink"/>
              </w:rPr>
              <w:t xml:space="preserve">Indicator 9. </w:t>
            </w:r>
            <w:r w:rsidR="002F7AE7">
              <w:rPr>
                <w:rFonts w:asciiTheme="minorHAnsi" w:hAnsiTheme="minorHAnsi"/>
                <w:bCs w:val="0"/>
                <w:sz w:val="22"/>
                <w:szCs w:val="22"/>
              </w:rPr>
              <w:tab/>
            </w:r>
            <w:r w:rsidR="002F7AE7" w:rsidRPr="00A246C5">
              <w:rPr>
                <w:rStyle w:val="Hyperlink"/>
              </w:rPr>
              <w:t>Responsiveness to diversity</w:t>
            </w:r>
            <w:r w:rsidR="002F7AE7">
              <w:rPr>
                <w:webHidden/>
              </w:rPr>
              <w:tab/>
            </w:r>
            <w:r w:rsidR="002F7AE7">
              <w:rPr>
                <w:webHidden/>
              </w:rPr>
              <w:fldChar w:fldCharType="begin"/>
            </w:r>
            <w:r w:rsidR="002F7AE7">
              <w:rPr>
                <w:webHidden/>
              </w:rPr>
              <w:instrText xml:space="preserve"> PAGEREF _Toc6998666 \h </w:instrText>
            </w:r>
            <w:r w:rsidR="002F7AE7">
              <w:rPr>
                <w:webHidden/>
              </w:rPr>
            </w:r>
            <w:r w:rsidR="002F7AE7">
              <w:rPr>
                <w:webHidden/>
              </w:rPr>
              <w:fldChar w:fldCharType="separate"/>
            </w:r>
            <w:r w:rsidR="002F7AE7">
              <w:rPr>
                <w:webHidden/>
              </w:rPr>
              <w:t>26</w:t>
            </w:r>
            <w:r w:rsidR="002F7AE7">
              <w:rPr>
                <w:webHidden/>
              </w:rPr>
              <w:fldChar w:fldCharType="end"/>
            </w:r>
          </w:hyperlink>
        </w:p>
        <w:p w14:paraId="071B8AD8" w14:textId="0C4B1CD7" w:rsidR="002F7AE7" w:rsidRDefault="00CF1416">
          <w:pPr>
            <w:pStyle w:val="TOC1"/>
            <w:rPr>
              <w:rFonts w:asciiTheme="minorHAnsi" w:hAnsiTheme="minorHAnsi"/>
              <w:b w:val="0"/>
              <w:bCs w:val="0"/>
              <w:caps w:val="0"/>
              <w:sz w:val="22"/>
              <w:szCs w:val="22"/>
            </w:rPr>
          </w:pPr>
          <w:hyperlink w:anchor="_Toc6998667" w:history="1">
            <w:r w:rsidR="002F7AE7" w:rsidRPr="00A246C5">
              <w:rPr>
                <w:rStyle w:val="Hyperlink"/>
              </w:rPr>
              <w:t>Section 6: P</w:t>
            </w:r>
            <w:r w:rsidR="002F7AE7" w:rsidRPr="00A246C5">
              <w:rPr>
                <w:rStyle w:val="Hyperlink"/>
                <w:rFonts w:cs="Arial"/>
              </w:rPr>
              <w:t>ā</w:t>
            </w:r>
            <w:r w:rsidR="002F7AE7" w:rsidRPr="00A246C5">
              <w:rPr>
                <w:rStyle w:val="Hyperlink"/>
              </w:rPr>
              <w:t>rongo t</w:t>
            </w:r>
            <w:r w:rsidR="002F7AE7" w:rsidRPr="00A246C5">
              <w:rPr>
                <w:rStyle w:val="Hyperlink"/>
                <w:rFonts w:cs="Arial"/>
              </w:rPr>
              <w:t>ū</w:t>
            </w:r>
            <w:r w:rsidR="002F7AE7" w:rsidRPr="00A246C5">
              <w:rPr>
                <w:rStyle w:val="Hyperlink"/>
              </w:rPr>
              <w:t>roro | Patient information</w:t>
            </w:r>
            <w:r w:rsidR="002F7AE7">
              <w:rPr>
                <w:webHidden/>
              </w:rPr>
              <w:tab/>
            </w:r>
            <w:r w:rsidR="002F7AE7">
              <w:rPr>
                <w:webHidden/>
              </w:rPr>
              <w:fldChar w:fldCharType="begin"/>
            </w:r>
            <w:r w:rsidR="002F7AE7">
              <w:rPr>
                <w:webHidden/>
              </w:rPr>
              <w:instrText xml:space="preserve"> PAGEREF _Toc6998667 \h </w:instrText>
            </w:r>
            <w:r w:rsidR="002F7AE7">
              <w:rPr>
                <w:webHidden/>
              </w:rPr>
            </w:r>
            <w:r w:rsidR="002F7AE7">
              <w:rPr>
                <w:webHidden/>
              </w:rPr>
              <w:fldChar w:fldCharType="separate"/>
            </w:r>
            <w:r w:rsidR="002F7AE7">
              <w:rPr>
                <w:webHidden/>
              </w:rPr>
              <w:t>30</w:t>
            </w:r>
            <w:r w:rsidR="002F7AE7">
              <w:rPr>
                <w:webHidden/>
              </w:rPr>
              <w:fldChar w:fldCharType="end"/>
            </w:r>
          </w:hyperlink>
        </w:p>
        <w:p w14:paraId="46AA2230" w14:textId="3BD5049C" w:rsidR="002F7AE7" w:rsidRDefault="00CF1416">
          <w:pPr>
            <w:pStyle w:val="TOC2"/>
            <w:rPr>
              <w:rFonts w:asciiTheme="minorHAnsi" w:hAnsiTheme="minorHAnsi"/>
              <w:bCs w:val="0"/>
              <w:sz w:val="22"/>
              <w:szCs w:val="22"/>
            </w:rPr>
          </w:pPr>
          <w:hyperlink w:anchor="_Toc6998668" w:history="1">
            <w:r w:rsidR="002F7AE7" w:rsidRPr="00A246C5">
              <w:rPr>
                <w:rStyle w:val="Hyperlink"/>
              </w:rPr>
              <w:t>Indicator 10.</w:t>
            </w:r>
            <w:r w:rsidR="002F7AE7">
              <w:rPr>
                <w:rFonts w:asciiTheme="minorHAnsi" w:hAnsiTheme="minorHAnsi"/>
                <w:bCs w:val="0"/>
                <w:sz w:val="22"/>
                <w:szCs w:val="22"/>
              </w:rPr>
              <w:tab/>
            </w:r>
            <w:r w:rsidR="002F7AE7" w:rsidRPr="00A246C5">
              <w:rPr>
                <w:rStyle w:val="Hyperlink"/>
              </w:rPr>
              <w:t>Patient information system</w:t>
            </w:r>
            <w:r w:rsidR="002F7AE7">
              <w:rPr>
                <w:webHidden/>
              </w:rPr>
              <w:tab/>
            </w:r>
            <w:r w:rsidR="002F7AE7">
              <w:rPr>
                <w:webHidden/>
              </w:rPr>
              <w:fldChar w:fldCharType="begin"/>
            </w:r>
            <w:r w:rsidR="002F7AE7">
              <w:rPr>
                <w:webHidden/>
              </w:rPr>
              <w:instrText xml:space="preserve"> PAGEREF _Toc6998668 \h </w:instrText>
            </w:r>
            <w:r w:rsidR="002F7AE7">
              <w:rPr>
                <w:webHidden/>
              </w:rPr>
            </w:r>
            <w:r w:rsidR="002F7AE7">
              <w:rPr>
                <w:webHidden/>
              </w:rPr>
              <w:fldChar w:fldCharType="separate"/>
            </w:r>
            <w:r w:rsidR="002F7AE7">
              <w:rPr>
                <w:webHidden/>
              </w:rPr>
              <w:t>31</w:t>
            </w:r>
            <w:r w:rsidR="002F7AE7">
              <w:rPr>
                <w:webHidden/>
              </w:rPr>
              <w:fldChar w:fldCharType="end"/>
            </w:r>
          </w:hyperlink>
        </w:p>
        <w:p w14:paraId="07EE5B3D" w14:textId="256DD298" w:rsidR="002F7AE7" w:rsidRDefault="00CF1416">
          <w:pPr>
            <w:pStyle w:val="TOC2"/>
            <w:rPr>
              <w:rFonts w:asciiTheme="minorHAnsi" w:hAnsiTheme="minorHAnsi"/>
              <w:bCs w:val="0"/>
              <w:sz w:val="22"/>
              <w:szCs w:val="22"/>
            </w:rPr>
          </w:pPr>
          <w:hyperlink w:anchor="_Toc6998669" w:history="1">
            <w:r w:rsidR="002F7AE7" w:rsidRPr="00A246C5">
              <w:rPr>
                <w:rStyle w:val="Hyperlink"/>
              </w:rPr>
              <w:t>Indicator 11. Registration and enrollment</w:t>
            </w:r>
            <w:r w:rsidR="002F7AE7">
              <w:rPr>
                <w:webHidden/>
              </w:rPr>
              <w:tab/>
            </w:r>
            <w:r w:rsidR="002F7AE7">
              <w:rPr>
                <w:webHidden/>
              </w:rPr>
              <w:fldChar w:fldCharType="begin"/>
            </w:r>
            <w:r w:rsidR="002F7AE7">
              <w:rPr>
                <w:webHidden/>
              </w:rPr>
              <w:instrText xml:space="preserve"> PAGEREF _Toc6998669 \h </w:instrText>
            </w:r>
            <w:r w:rsidR="002F7AE7">
              <w:rPr>
                <w:webHidden/>
              </w:rPr>
            </w:r>
            <w:r w:rsidR="002F7AE7">
              <w:rPr>
                <w:webHidden/>
              </w:rPr>
              <w:fldChar w:fldCharType="separate"/>
            </w:r>
            <w:r w:rsidR="002F7AE7">
              <w:rPr>
                <w:webHidden/>
              </w:rPr>
              <w:t>34</w:t>
            </w:r>
            <w:r w:rsidR="002F7AE7">
              <w:rPr>
                <w:webHidden/>
              </w:rPr>
              <w:fldChar w:fldCharType="end"/>
            </w:r>
          </w:hyperlink>
        </w:p>
        <w:p w14:paraId="5E2EF7CB" w14:textId="3AF0ACF1" w:rsidR="002F7AE7" w:rsidRDefault="00CF1416">
          <w:pPr>
            <w:pStyle w:val="TOC2"/>
            <w:rPr>
              <w:rFonts w:asciiTheme="minorHAnsi" w:hAnsiTheme="minorHAnsi"/>
              <w:bCs w:val="0"/>
              <w:sz w:val="22"/>
              <w:szCs w:val="22"/>
            </w:rPr>
          </w:pPr>
          <w:hyperlink w:anchor="_Toc6998670" w:history="1">
            <w:r w:rsidR="002F7AE7" w:rsidRPr="00A246C5">
              <w:rPr>
                <w:rStyle w:val="Hyperlink"/>
              </w:rPr>
              <w:t>Indicator 12. Patient records</w:t>
            </w:r>
            <w:r w:rsidR="002F7AE7">
              <w:rPr>
                <w:webHidden/>
              </w:rPr>
              <w:tab/>
            </w:r>
            <w:r w:rsidR="002F7AE7">
              <w:rPr>
                <w:webHidden/>
              </w:rPr>
              <w:fldChar w:fldCharType="begin"/>
            </w:r>
            <w:r w:rsidR="002F7AE7">
              <w:rPr>
                <w:webHidden/>
              </w:rPr>
              <w:instrText xml:space="preserve"> PAGEREF _Toc6998670 \h </w:instrText>
            </w:r>
            <w:r w:rsidR="002F7AE7">
              <w:rPr>
                <w:webHidden/>
              </w:rPr>
            </w:r>
            <w:r w:rsidR="002F7AE7">
              <w:rPr>
                <w:webHidden/>
              </w:rPr>
              <w:fldChar w:fldCharType="separate"/>
            </w:r>
            <w:r w:rsidR="002F7AE7">
              <w:rPr>
                <w:webHidden/>
              </w:rPr>
              <w:t>35</w:t>
            </w:r>
            <w:r w:rsidR="002F7AE7">
              <w:rPr>
                <w:webHidden/>
              </w:rPr>
              <w:fldChar w:fldCharType="end"/>
            </w:r>
          </w:hyperlink>
        </w:p>
        <w:p w14:paraId="4AE50F45" w14:textId="731CB2E0" w:rsidR="002F7AE7" w:rsidRDefault="00CF1416">
          <w:pPr>
            <w:pStyle w:val="TOC1"/>
            <w:rPr>
              <w:rFonts w:asciiTheme="minorHAnsi" w:hAnsiTheme="minorHAnsi"/>
              <w:b w:val="0"/>
              <w:bCs w:val="0"/>
              <w:caps w:val="0"/>
              <w:sz w:val="22"/>
              <w:szCs w:val="22"/>
            </w:rPr>
          </w:pPr>
          <w:hyperlink w:anchor="_Toc6998671" w:history="1">
            <w:r w:rsidR="002F7AE7" w:rsidRPr="00A246C5">
              <w:rPr>
                <w:rStyle w:val="Hyperlink"/>
              </w:rPr>
              <w:t>Section 7: Manaaki haumanu | Clinical care</w:t>
            </w:r>
            <w:r w:rsidR="002F7AE7">
              <w:rPr>
                <w:webHidden/>
              </w:rPr>
              <w:tab/>
            </w:r>
            <w:r w:rsidR="002F7AE7">
              <w:rPr>
                <w:webHidden/>
              </w:rPr>
              <w:fldChar w:fldCharType="begin"/>
            </w:r>
            <w:r w:rsidR="002F7AE7">
              <w:rPr>
                <w:webHidden/>
              </w:rPr>
              <w:instrText xml:space="preserve"> PAGEREF _Toc6998671 \h </w:instrText>
            </w:r>
            <w:r w:rsidR="002F7AE7">
              <w:rPr>
                <w:webHidden/>
              </w:rPr>
            </w:r>
            <w:r w:rsidR="002F7AE7">
              <w:rPr>
                <w:webHidden/>
              </w:rPr>
              <w:fldChar w:fldCharType="separate"/>
            </w:r>
            <w:r w:rsidR="002F7AE7">
              <w:rPr>
                <w:webHidden/>
              </w:rPr>
              <w:t>37</w:t>
            </w:r>
            <w:r w:rsidR="002F7AE7">
              <w:rPr>
                <w:webHidden/>
              </w:rPr>
              <w:fldChar w:fldCharType="end"/>
            </w:r>
          </w:hyperlink>
        </w:p>
        <w:p w14:paraId="5087B2D1" w14:textId="113F3FE8" w:rsidR="002F7AE7" w:rsidRDefault="00CF1416">
          <w:pPr>
            <w:pStyle w:val="TOC2"/>
            <w:rPr>
              <w:rFonts w:asciiTheme="minorHAnsi" w:hAnsiTheme="minorHAnsi"/>
              <w:bCs w:val="0"/>
              <w:sz w:val="22"/>
              <w:szCs w:val="22"/>
            </w:rPr>
          </w:pPr>
          <w:hyperlink w:anchor="_Toc6998672" w:history="1">
            <w:r w:rsidR="002F7AE7" w:rsidRPr="00A246C5">
              <w:rPr>
                <w:rStyle w:val="Hyperlink"/>
              </w:rPr>
              <w:t>Indicator 13.</w:t>
            </w:r>
            <w:r w:rsidR="002F7AE7">
              <w:rPr>
                <w:rFonts w:asciiTheme="minorHAnsi" w:hAnsiTheme="minorHAnsi"/>
                <w:bCs w:val="0"/>
                <w:sz w:val="22"/>
                <w:szCs w:val="22"/>
              </w:rPr>
              <w:tab/>
            </w:r>
            <w:r w:rsidR="002F7AE7" w:rsidRPr="00A246C5">
              <w:rPr>
                <w:rStyle w:val="Hyperlink"/>
              </w:rPr>
              <w:t>Management of clinical correspondence</w:t>
            </w:r>
            <w:r w:rsidR="002F7AE7">
              <w:rPr>
                <w:webHidden/>
              </w:rPr>
              <w:tab/>
            </w:r>
            <w:r w:rsidR="002F7AE7">
              <w:rPr>
                <w:webHidden/>
              </w:rPr>
              <w:fldChar w:fldCharType="begin"/>
            </w:r>
            <w:r w:rsidR="002F7AE7">
              <w:rPr>
                <w:webHidden/>
              </w:rPr>
              <w:instrText xml:space="preserve"> PAGEREF _Toc6998672 \h </w:instrText>
            </w:r>
            <w:r w:rsidR="002F7AE7">
              <w:rPr>
                <w:webHidden/>
              </w:rPr>
            </w:r>
            <w:r w:rsidR="002F7AE7">
              <w:rPr>
                <w:webHidden/>
              </w:rPr>
              <w:fldChar w:fldCharType="separate"/>
            </w:r>
            <w:r w:rsidR="002F7AE7">
              <w:rPr>
                <w:webHidden/>
              </w:rPr>
              <w:t>38</w:t>
            </w:r>
            <w:r w:rsidR="002F7AE7">
              <w:rPr>
                <w:webHidden/>
              </w:rPr>
              <w:fldChar w:fldCharType="end"/>
            </w:r>
          </w:hyperlink>
        </w:p>
        <w:p w14:paraId="00E3D339" w14:textId="28863087" w:rsidR="002F7AE7" w:rsidRDefault="00CF1416">
          <w:pPr>
            <w:pStyle w:val="TOC2"/>
            <w:rPr>
              <w:rFonts w:asciiTheme="minorHAnsi" w:hAnsiTheme="minorHAnsi"/>
              <w:bCs w:val="0"/>
              <w:sz w:val="22"/>
              <w:szCs w:val="22"/>
            </w:rPr>
          </w:pPr>
          <w:hyperlink w:anchor="_Toc6998673" w:history="1">
            <w:r w:rsidR="002F7AE7" w:rsidRPr="00A246C5">
              <w:rPr>
                <w:rStyle w:val="Hyperlink"/>
              </w:rPr>
              <w:t>Indicator 14.</w:t>
            </w:r>
            <w:r w:rsidR="002F7AE7">
              <w:rPr>
                <w:rFonts w:asciiTheme="minorHAnsi" w:hAnsiTheme="minorHAnsi"/>
                <w:bCs w:val="0"/>
                <w:sz w:val="22"/>
                <w:szCs w:val="22"/>
              </w:rPr>
              <w:tab/>
            </w:r>
            <w:r w:rsidR="002F7AE7" w:rsidRPr="00A246C5">
              <w:rPr>
                <w:rStyle w:val="Hyperlink"/>
              </w:rPr>
              <w:t>Continuity of care</w:t>
            </w:r>
            <w:r w:rsidR="002F7AE7">
              <w:rPr>
                <w:webHidden/>
              </w:rPr>
              <w:tab/>
            </w:r>
            <w:r w:rsidR="002F7AE7">
              <w:rPr>
                <w:webHidden/>
              </w:rPr>
              <w:fldChar w:fldCharType="begin"/>
            </w:r>
            <w:r w:rsidR="002F7AE7">
              <w:rPr>
                <w:webHidden/>
              </w:rPr>
              <w:instrText xml:space="preserve"> PAGEREF _Toc6998673 \h </w:instrText>
            </w:r>
            <w:r w:rsidR="002F7AE7">
              <w:rPr>
                <w:webHidden/>
              </w:rPr>
            </w:r>
            <w:r w:rsidR="002F7AE7">
              <w:rPr>
                <w:webHidden/>
              </w:rPr>
              <w:fldChar w:fldCharType="separate"/>
            </w:r>
            <w:r w:rsidR="002F7AE7">
              <w:rPr>
                <w:webHidden/>
              </w:rPr>
              <w:t>41</w:t>
            </w:r>
            <w:r w:rsidR="002F7AE7">
              <w:rPr>
                <w:webHidden/>
              </w:rPr>
              <w:fldChar w:fldCharType="end"/>
            </w:r>
          </w:hyperlink>
        </w:p>
        <w:p w14:paraId="3F2AD646" w14:textId="1507DD1C" w:rsidR="002F7AE7" w:rsidRDefault="00CF1416">
          <w:pPr>
            <w:pStyle w:val="TOC2"/>
            <w:rPr>
              <w:rFonts w:asciiTheme="minorHAnsi" w:hAnsiTheme="minorHAnsi"/>
              <w:bCs w:val="0"/>
              <w:sz w:val="22"/>
              <w:szCs w:val="22"/>
            </w:rPr>
          </w:pPr>
          <w:hyperlink w:anchor="_Toc6998674" w:history="1">
            <w:r w:rsidR="002F7AE7" w:rsidRPr="00A246C5">
              <w:rPr>
                <w:rStyle w:val="Hyperlink"/>
              </w:rPr>
              <w:t>Indicator 15.</w:t>
            </w:r>
            <w:r w:rsidR="002F7AE7">
              <w:rPr>
                <w:rFonts w:asciiTheme="minorHAnsi" w:hAnsiTheme="minorHAnsi"/>
                <w:bCs w:val="0"/>
                <w:sz w:val="22"/>
                <w:szCs w:val="22"/>
              </w:rPr>
              <w:tab/>
            </w:r>
            <w:r w:rsidR="002F7AE7" w:rsidRPr="00A246C5">
              <w:rPr>
                <w:rStyle w:val="Hyperlink"/>
              </w:rPr>
              <w:t>Responsiveness to urgent health needs</w:t>
            </w:r>
            <w:r w:rsidR="002F7AE7">
              <w:rPr>
                <w:webHidden/>
              </w:rPr>
              <w:tab/>
            </w:r>
            <w:r w:rsidR="002F7AE7">
              <w:rPr>
                <w:webHidden/>
              </w:rPr>
              <w:fldChar w:fldCharType="begin"/>
            </w:r>
            <w:r w:rsidR="002F7AE7">
              <w:rPr>
                <w:webHidden/>
              </w:rPr>
              <w:instrText xml:space="preserve"> PAGEREF _Toc6998674 \h </w:instrText>
            </w:r>
            <w:r w:rsidR="002F7AE7">
              <w:rPr>
                <w:webHidden/>
              </w:rPr>
            </w:r>
            <w:r w:rsidR="002F7AE7">
              <w:rPr>
                <w:webHidden/>
              </w:rPr>
              <w:fldChar w:fldCharType="separate"/>
            </w:r>
            <w:r w:rsidR="002F7AE7">
              <w:rPr>
                <w:webHidden/>
              </w:rPr>
              <w:t>44</w:t>
            </w:r>
            <w:r w:rsidR="002F7AE7">
              <w:rPr>
                <w:webHidden/>
              </w:rPr>
              <w:fldChar w:fldCharType="end"/>
            </w:r>
          </w:hyperlink>
        </w:p>
        <w:p w14:paraId="696B077B" w14:textId="7DA9D1BB" w:rsidR="002F7AE7" w:rsidRDefault="00CF1416">
          <w:pPr>
            <w:pStyle w:val="TOC2"/>
            <w:rPr>
              <w:rFonts w:asciiTheme="minorHAnsi" w:hAnsiTheme="minorHAnsi"/>
              <w:bCs w:val="0"/>
              <w:sz w:val="22"/>
              <w:szCs w:val="22"/>
            </w:rPr>
          </w:pPr>
          <w:hyperlink w:anchor="_Toc6998675" w:history="1">
            <w:r w:rsidR="002F7AE7" w:rsidRPr="00A246C5">
              <w:rPr>
                <w:rStyle w:val="Hyperlink"/>
              </w:rPr>
              <w:t>Indicator 16.</w:t>
            </w:r>
            <w:r w:rsidR="002F7AE7">
              <w:rPr>
                <w:rFonts w:asciiTheme="minorHAnsi" w:hAnsiTheme="minorHAnsi"/>
                <w:bCs w:val="0"/>
                <w:sz w:val="22"/>
                <w:szCs w:val="22"/>
              </w:rPr>
              <w:tab/>
            </w:r>
            <w:r w:rsidR="002F7AE7" w:rsidRPr="00A246C5">
              <w:rPr>
                <w:rStyle w:val="Hyperlink"/>
              </w:rPr>
              <w:t>24-hour, 7-day/week health care</w:t>
            </w:r>
            <w:r w:rsidR="002F7AE7">
              <w:rPr>
                <w:webHidden/>
              </w:rPr>
              <w:tab/>
            </w:r>
            <w:r w:rsidR="002F7AE7">
              <w:rPr>
                <w:webHidden/>
              </w:rPr>
              <w:fldChar w:fldCharType="begin"/>
            </w:r>
            <w:r w:rsidR="002F7AE7">
              <w:rPr>
                <w:webHidden/>
              </w:rPr>
              <w:instrText xml:space="preserve"> PAGEREF _Toc6998675 \h </w:instrText>
            </w:r>
            <w:r w:rsidR="002F7AE7">
              <w:rPr>
                <w:webHidden/>
              </w:rPr>
            </w:r>
            <w:r w:rsidR="002F7AE7">
              <w:rPr>
                <w:webHidden/>
              </w:rPr>
              <w:fldChar w:fldCharType="separate"/>
            </w:r>
            <w:r w:rsidR="002F7AE7">
              <w:rPr>
                <w:webHidden/>
              </w:rPr>
              <w:t>47</w:t>
            </w:r>
            <w:r w:rsidR="002F7AE7">
              <w:rPr>
                <w:webHidden/>
              </w:rPr>
              <w:fldChar w:fldCharType="end"/>
            </w:r>
          </w:hyperlink>
        </w:p>
        <w:p w14:paraId="4A0AECFF" w14:textId="7F28CBED" w:rsidR="002F7AE7" w:rsidRDefault="00CF1416">
          <w:pPr>
            <w:pStyle w:val="TOC2"/>
            <w:rPr>
              <w:rFonts w:asciiTheme="minorHAnsi" w:hAnsiTheme="minorHAnsi"/>
              <w:bCs w:val="0"/>
              <w:sz w:val="22"/>
              <w:szCs w:val="22"/>
            </w:rPr>
          </w:pPr>
          <w:hyperlink w:anchor="_Toc6998676" w:history="1">
            <w:r w:rsidR="002F7AE7" w:rsidRPr="00A246C5">
              <w:rPr>
                <w:rStyle w:val="Hyperlink"/>
              </w:rPr>
              <w:t>Indicator 17. Screening and recall</w:t>
            </w:r>
            <w:r w:rsidR="002F7AE7">
              <w:rPr>
                <w:webHidden/>
              </w:rPr>
              <w:tab/>
            </w:r>
            <w:r w:rsidR="002F7AE7">
              <w:rPr>
                <w:webHidden/>
              </w:rPr>
              <w:fldChar w:fldCharType="begin"/>
            </w:r>
            <w:r w:rsidR="002F7AE7">
              <w:rPr>
                <w:webHidden/>
              </w:rPr>
              <w:instrText xml:space="preserve"> PAGEREF _Toc6998676 \h </w:instrText>
            </w:r>
            <w:r w:rsidR="002F7AE7">
              <w:rPr>
                <w:webHidden/>
              </w:rPr>
            </w:r>
            <w:r w:rsidR="002F7AE7">
              <w:rPr>
                <w:webHidden/>
              </w:rPr>
              <w:fldChar w:fldCharType="separate"/>
            </w:r>
            <w:r w:rsidR="002F7AE7">
              <w:rPr>
                <w:webHidden/>
              </w:rPr>
              <w:t>48</w:t>
            </w:r>
            <w:r w:rsidR="002F7AE7">
              <w:rPr>
                <w:webHidden/>
              </w:rPr>
              <w:fldChar w:fldCharType="end"/>
            </w:r>
          </w:hyperlink>
        </w:p>
        <w:p w14:paraId="2032E162" w14:textId="4A3D77E4" w:rsidR="002F7AE7" w:rsidRDefault="00CF1416">
          <w:pPr>
            <w:pStyle w:val="TOC2"/>
            <w:rPr>
              <w:rFonts w:asciiTheme="minorHAnsi" w:hAnsiTheme="minorHAnsi"/>
              <w:bCs w:val="0"/>
              <w:sz w:val="22"/>
              <w:szCs w:val="22"/>
            </w:rPr>
          </w:pPr>
          <w:hyperlink w:anchor="_Toc6998677" w:history="1">
            <w:r w:rsidR="002F7AE7" w:rsidRPr="00A246C5">
              <w:rPr>
                <w:rStyle w:val="Hyperlink"/>
              </w:rPr>
              <w:t>Indicator 18. Healthy lifestyle</w:t>
            </w:r>
            <w:r w:rsidR="002F7AE7">
              <w:rPr>
                <w:webHidden/>
              </w:rPr>
              <w:tab/>
            </w:r>
            <w:r w:rsidR="002F7AE7">
              <w:rPr>
                <w:webHidden/>
              </w:rPr>
              <w:fldChar w:fldCharType="begin"/>
            </w:r>
            <w:r w:rsidR="002F7AE7">
              <w:rPr>
                <w:webHidden/>
              </w:rPr>
              <w:instrText xml:space="preserve"> PAGEREF _Toc6998677 \h </w:instrText>
            </w:r>
            <w:r w:rsidR="002F7AE7">
              <w:rPr>
                <w:webHidden/>
              </w:rPr>
            </w:r>
            <w:r w:rsidR="002F7AE7">
              <w:rPr>
                <w:webHidden/>
              </w:rPr>
              <w:fldChar w:fldCharType="separate"/>
            </w:r>
            <w:r w:rsidR="002F7AE7">
              <w:rPr>
                <w:webHidden/>
              </w:rPr>
              <w:t>50</w:t>
            </w:r>
            <w:r w:rsidR="002F7AE7">
              <w:rPr>
                <w:webHidden/>
              </w:rPr>
              <w:fldChar w:fldCharType="end"/>
            </w:r>
          </w:hyperlink>
        </w:p>
        <w:p w14:paraId="5AFD31E9" w14:textId="7453E9AE" w:rsidR="002F7AE7" w:rsidRDefault="00CF1416">
          <w:pPr>
            <w:pStyle w:val="TOC1"/>
            <w:rPr>
              <w:rFonts w:asciiTheme="minorHAnsi" w:hAnsiTheme="minorHAnsi"/>
              <w:b w:val="0"/>
              <w:bCs w:val="0"/>
              <w:caps w:val="0"/>
              <w:sz w:val="22"/>
              <w:szCs w:val="22"/>
            </w:rPr>
          </w:pPr>
          <w:hyperlink w:anchor="_Toc6998678" w:history="1">
            <w:r w:rsidR="002F7AE7" w:rsidRPr="00A246C5">
              <w:rPr>
                <w:rStyle w:val="Hyperlink"/>
              </w:rPr>
              <w:t>Section 8: Whare haumanu | Practice team members</w:t>
            </w:r>
            <w:r w:rsidR="002F7AE7">
              <w:rPr>
                <w:webHidden/>
              </w:rPr>
              <w:tab/>
            </w:r>
            <w:r w:rsidR="002F7AE7">
              <w:rPr>
                <w:webHidden/>
              </w:rPr>
              <w:fldChar w:fldCharType="begin"/>
            </w:r>
            <w:r w:rsidR="002F7AE7">
              <w:rPr>
                <w:webHidden/>
              </w:rPr>
              <w:instrText xml:space="preserve"> PAGEREF _Toc6998678 \h </w:instrText>
            </w:r>
            <w:r w:rsidR="002F7AE7">
              <w:rPr>
                <w:webHidden/>
              </w:rPr>
            </w:r>
            <w:r w:rsidR="002F7AE7">
              <w:rPr>
                <w:webHidden/>
              </w:rPr>
              <w:fldChar w:fldCharType="separate"/>
            </w:r>
            <w:r w:rsidR="002F7AE7">
              <w:rPr>
                <w:webHidden/>
              </w:rPr>
              <w:t>52</w:t>
            </w:r>
            <w:r w:rsidR="002F7AE7">
              <w:rPr>
                <w:webHidden/>
              </w:rPr>
              <w:fldChar w:fldCharType="end"/>
            </w:r>
          </w:hyperlink>
        </w:p>
        <w:p w14:paraId="3E709229" w14:textId="6FB61440" w:rsidR="002F7AE7" w:rsidRDefault="00CF1416">
          <w:pPr>
            <w:pStyle w:val="TOC2"/>
            <w:rPr>
              <w:rFonts w:asciiTheme="minorHAnsi" w:hAnsiTheme="minorHAnsi"/>
              <w:bCs w:val="0"/>
              <w:sz w:val="22"/>
              <w:szCs w:val="22"/>
            </w:rPr>
          </w:pPr>
          <w:hyperlink w:anchor="_Toc6998679" w:history="1">
            <w:r w:rsidR="002F7AE7" w:rsidRPr="00A246C5">
              <w:rPr>
                <w:rStyle w:val="Hyperlink"/>
              </w:rPr>
              <w:t>Indicator 19. Health and safety</w:t>
            </w:r>
            <w:r w:rsidR="002F7AE7">
              <w:rPr>
                <w:webHidden/>
              </w:rPr>
              <w:tab/>
            </w:r>
            <w:r w:rsidR="002F7AE7">
              <w:rPr>
                <w:webHidden/>
              </w:rPr>
              <w:fldChar w:fldCharType="begin"/>
            </w:r>
            <w:r w:rsidR="002F7AE7">
              <w:rPr>
                <w:webHidden/>
              </w:rPr>
              <w:instrText xml:space="preserve"> PAGEREF _Toc6998679 \h </w:instrText>
            </w:r>
            <w:r w:rsidR="002F7AE7">
              <w:rPr>
                <w:webHidden/>
              </w:rPr>
            </w:r>
            <w:r w:rsidR="002F7AE7">
              <w:rPr>
                <w:webHidden/>
              </w:rPr>
              <w:fldChar w:fldCharType="separate"/>
            </w:r>
            <w:r w:rsidR="002F7AE7">
              <w:rPr>
                <w:webHidden/>
              </w:rPr>
              <w:t>53</w:t>
            </w:r>
            <w:r w:rsidR="002F7AE7">
              <w:rPr>
                <w:webHidden/>
              </w:rPr>
              <w:fldChar w:fldCharType="end"/>
            </w:r>
          </w:hyperlink>
        </w:p>
        <w:p w14:paraId="7FA3F28D" w14:textId="2A60FDB7" w:rsidR="002F7AE7" w:rsidRDefault="00CF1416">
          <w:pPr>
            <w:pStyle w:val="TOC2"/>
            <w:rPr>
              <w:rFonts w:asciiTheme="minorHAnsi" w:hAnsiTheme="minorHAnsi"/>
              <w:bCs w:val="0"/>
              <w:sz w:val="22"/>
              <w:szCs w:val="22"/>
            </w:rPr>
          </w:pPr>
          <w:hyperlink w:anchor="_Toc6998680" w:history="1">
            <w:r w:rsidR="002F7AE7" w:rsidRPr="00A246C5">
              <w:rPr>
                <w:rStyle w:val="Hyperlink"/>
              </w:rPr>
              <w:t>Indicator 20.</w:t>
            </w:r>
            <w:r w:rsidR="002F7AE7">
              <w:rPr>
                <w:rFonts w:asciiTheme="minorHAnsi" w:hAnsiTheme="minorHAnsi"/>
                <w:bCs w:val="0"/>
                <w:sz w:val="22"/>
                <w:szCs w:val="22"/>
              </w:rPr>
              <w:tab/>
            </w:r>
            <w:r w:rsidR="002F7AE7" w:rsidRPr="00A246C5">
              <w:rPr>
                <w:rStyle w:val="Hyperlink"/>
              </w:rPr>
              <w:t>Employee and contractor safety checking procedures</w:t>
            </w:r>
            <w:r w:rsidR="002F7AE7">
              <w:rPr>
                <w:webHidden/>
              </w:rPr>
              <w:tab/>
            </w:r>
            <w:r w:rsidR="002F7AE7">
              <w:rPr>
                <w:webHidden/>
              </w:rPr>
              <w:fldChar w:fldCharType="begin"/>
            </w:r>
            <w:r w:rsidR="002F7AE7">
              <w:rPr>
                <w:webHidden/>
              </w:rPr>
              <w:instrText xml:space="preserve"> PAGEREF _Toc6998680 \h </w:instrText>
            </w:r>
            <w:r w:rsidR="002F7AE7">
              <w:rPr>
                <w:webHidden/>
              </w:rPr>
            </w:r>
            <w:r w:rsidR="002F7AE7">
              <w:rPr>
                <w:webHidden/>
              </w:rPr>
              <w:fldChar w:fldCharType="separate"/>
            </w:r>
            <w:r w:rsidR="002F7AE7">
              <w:rPr>
                <w:webHidden/>
              </w:rPr>
              <w:t>55</w:t>
            </w:r>
            <w:r w:rsidR="002F7AE7">
              <w:rPr>
                <w:webHidden/>
              </w:rPr>
              <w:fldChar w:fldCharType="end"/>
            </w:r>
          </w:hyperlink>
        </w:p>
        <w:p w14:paraId="4F9D0C40" w14:textId="53FC32B4" w:rsidR="002F7AE7" w:rsidRDefault="00CF1416">
          <w:pPr>
            <w:pStyle w:val="TOC2"/>
            <w:rPr>
              <w:rFonts w:asciiTheme="minorHAnsi" w:hAnsiTheme="minorHAnsi"/>
              <w:bCs w:val="0"/>
              <w:sz w:val="22"/>
              <w:szCs w:val="22"/>
            </w:rPr>
          </w:pPr>
          <w:hyperlink w:anchor="_Toc6998681" w:history="1">
            <w:r w:rsidR="002F7AE7" w:rsidRPr="00A246C5">
              <w:rPr>
                <w:rStyle w:val="Hyperlink"/>
              </w:rPr>
              <w:t>Indicator 21.</w:t>
            </w:r>
            <w:r w:rsidR="002F7AE7">
              <w:rPr>
                <w:rFonts w:asciiTheme="minorHAnsi" w:hAnsiTheme="minorHAnsi"/>
                <w:bCs w:val="0"/>
                <w:sz w:val="22"/>
                <w:szCs w:val="22"/>
              </w:rPr>
              <w:tab/>
            </w:r>
            <w:r w:rsidR="002F7AE7" w:rsidRPr="00A246C5">
              <w:rPr>
                <w:rStyle w:val="Hyperlink"/>
              </w:rPr>
              <w:t>Staff induction, reviews and development</w:t>
            </w:r>
            <w:r w:rsidR="002F7AE7">
              <w:rPr>
                <w:webHidden/>
              </w:rPr>
              <w:tab/>
            </w:r>
            <w:r w:rsidR="002F7AE7">
              <w:rPr>
                <w:webHidden/>
              </w:rPr>
              <w:fldChar w:fldCharType="begin"/>
            </w:r>
            <w:r w:rsidR="002F7AE7">
              <w:rPr>
                <w:webHidden/>
              </w:rPr>
              <w:instrText xml:space="preserve"> PAGEREF _Toc6998681 \h </w:instrText>
            </w:r>
            <w:r w:rsidR="002F7AE7">
              <w:rPr>
                <w:webHidden/>
              </w:rPr>
            </w:r>
            <w:r w:rsidR="002F7AE7">
              <w:rPr>
                <w:webHidden/>
              </w:rPr>
              <w:fldChar w:fldCharType="separate"/>
            </w:r>
            <w:r w:rsidR="002F7AE7">
              <w:rPr>
                <w:webHidden/>
              </w:rPr>
              <w:t>58</w:t>
            </w:r>
            <w:r w:rsidR="002F7AE7">
              <w:rPr>
                <w:webHidden/>
              </w:rPr>
              <w:fldChar w:fldCharType="end"/>
            </w:r>
          </w:hyperlink>
        </w:p>
        <w:p w14:paraId="56EBC4FF" w14:textId="1E42741D" w:rsidR="002F7AE7" w:rsidRDefault="00CF1416">
          <w:pPr>
            <w:pStyle w:val="TOC1"/>
            <w:rPr>
              <w:rFonts w:asciiTheme="minorHAnsi" w:hAnsiTheme="minorHAnsi"/>
              <w:b w:val="0"/>
              <w:bCs w:val="0"/>
              <w:caps w:val="0"/>
              <w:sz w:val="22"/>
              <w:szCs w:val="22"/>
            </w:rPr>
          </w:pPr>
          <w:hyperlink w:anchor="_Toc6998682" w:history="1">
            <w:r w:rsidR="002F7AE7" w:rsidRPr="00A246C5">
              <w:rPr>
                <w:rStyle w:val="Hyperlink"/>
              </w:rPr>
              <w:t>Section 9: Taputapu | Medical equipment and resources</w:t>
            </w:r>
            <w:r w:rsidR="002F7AE7">
              <w:rPr>
                <w:webHidden/>
              </w:rPr>
              <w:tab/>
            </w:r>
            <w:r w:rsidR="002F7AE7">
              <w:rPr>
                <w:webHidden/>
              </w:rPr>
              <w:fldChar w:fldCharType="begin"/>
            </w:r>
            <w:r w:rsidR="002F7AE7">
              <w:rPr>
                <w:webHidden/>
              </w:rPr>
              <w:instrText xml:space="preserve"> PAGEREF _Toc6998682 \h </w:instrText>
            </w:r>
            <w:r w:rsidR="002F7AE7">
              <w:rPr>
                <w:webHidden/>
              </w:rPr>
            </w:r>
            <w:r w:rsidR="002F7AE7">
              <w:rPr>
                <w:webHidden/>
              </w:rPr>
              <w:fldChar w:fldCharType="separate"/>
            </w:r>
            <w:r w:rsidR="002F7AE7">
              <w:rPr>
                <w:webHidden/>
              </w:rPr>
              <w:t>61</w:t>
            </w:r>
            <w:r w:rsidR="002F7AE7">
              <w:rPr>
                <w:webHidden/>
              </w:rPr>
              <w:fldChar w:fldCharType="end"/>
            </w:r>
          </w:hyperlink>
        </w:p>
        <w:p w14:paraId="2DF14AFF" w14:textId="6F7C56B3" w:rsidR="002F7AE7" w:rsidRDefault="00CF1416">
          <w:pPr>
            <w:pStyle w:val="TOC2"/>
            <w:rPr>
              <w:rFonts w:asciiTheme="minorHAnsi" w:hAnsiTheme="minorHAnsi"/>
              <w:bCs w:val="0"/>
              <w:sz w:val="22"/>
              <w:szCs w:val="22"/>
            </w:rPr>
          </w:pPr>
          <w:hyperlink w:anchor="_Toc6998683" w:history="1">
            <w:r w:rsidR="002F7AE7" w:rsidRPr="00A246C5">
              <w:rPr>
                <w:rStyle w:val="Hyperlink"/>
              </w:rPr>
              <w:t>Indicator 22.</w:t>
            </w:r>
            <w:r w:rsidR="002F7AE7">
              <w:rPr>
                <w:rFonts w:asciiTheme="minorHAnsi" w:hAnsiTheme="minorHAnsi"/>
                <w:bCs w:val="0"/>
                <w:sz w:val="22"/>
                <w:szCs w:val="22"/>
              </w:rPr>
              <w:tab/>
            </w:r>
            <w:r w:rsidR="002F7AE7" w:rsidRPr="00A246C5">
              <w:rPr>
                <w:rStyle w:val="Hyperlink"/>
              </w:rPr>
              <w:t>Medical equipment and medicines</w:t>
            </w:r>
            <w:r w:rsidR="002F7AE7">
              <w:rPr>
                <w:webHidden/>
              </w:rPr>
              <w:tab/>
            </w:r>
            <w:r w:rsidR="002F7AE7">
              <w:rPr>
                <w:webHidden/>
              </w:rPr>
              <w:fldChar w:fldCharType="begin"/>
            </w:r>
            <w:r w:rsidR="002F7AE7">
              <w:rPr>
                <w:webHidden/>
              </w:rPr>
              <w:instrText xml:space="preserve"> PAGEREF _Toc6998683 \h </w:instrText>
            </w:r>
            <w:r w:rsidR="002F7AE7">
              <w:rPr>
                <w:webHidden/>
              </w:rPr>
            </w:r>
            <w:r w:rsidR="002F7AE7">
              <w:rPr>
                <w:webHidden/>
              </w:rPr>
              <w:fldChar w:fldCharType="separate"/>
            </w:r>
            <w:r w:rsidR="002F7AE7">
              <w:rPr>
                <w:webHidden/>
              </w:rPr>
              <w:t>62</w:t>
            </w:r>
            <w:r w:rsidR="002F7AE7">
              <w:rPr>
                <w:webHidden/>
              </w:rPr>
              <w:fldChar w:fldCharType="end"/>
            </w:r>
          </w:hyperlink>
        </w:p>
        <w:p w14:paraId="1CD6E2BE" w14:textId="7D80F91B" w:rsidR="002F7AE7" w:rsidRDefault="00CF1416">
          <w:pPr>
            <w:pStyle w:val="TOC2"/>
            <w:rPr>
              <w:rFonts w:asciiTheme="minorHAnsi" w:hAnsiTheme="minorHAnsi"/>
              <w:bCs w:val="0"/>
              <w:sz w:val="22"/>
              <w:szCs w:val="22"/>
            </w:rPr>
          </w:pPr>
          <w:hyperlink w:anchor="_Toc6998684" w:history="1">
            <w:r w:rsidR="002F7AE7" w:rsidRPr="00A246C5">
              <w:rPr>
                <w:rStyle w:val="Hyperlink"/>
              </w:rPr>
              <w:t>Indicator 23.</w:t>
            </w:r>
            <w:r w:rsidR="002F7AE7">
              <w:rPr>
                <w:rFonts w:asciiTheme="minorHAnsi" w:hAnsiTheme="minorHAnsi"/>
                <w:bCs w:val="0"/>
                <w:sz w:val="22"/>
                <w:szCs w:val="22"/>
              </w:rPr>
              <w:tab/>
            </w:r>
            <w:r w:rsidR="002F7AE7" w:rsidRPr="00A246C5">
              <w:rPr>
                <w:rStyle w:val="Hyperlink"/>
              </w:rPr>
              <w:t>Cold chain</w:t>
            </w:r>
            <w:r w:rsidR="002F7AE7">
              <w:rPr>
                <w:webHidden/>
              </w:rPr>
              <w:tab/>
            </w:r>
            <w:r w:rsidR="002F7AE7">
              <w:rPr>
                <w:webHidden/>
              </w:rPr>
              <w:fldChar w:fldCharType="begin"/>
            </w:r>
            <w:r w:rsidR="002F7AE7">
              <w:rPr>
                <w:webHidden/>
              </w:rPr>
              <w:instrText xml:space="preserve"> PAGEREF _Toc6998684 \h </w:instrText>
            </w:r>
            <w:r w:rsidR="002F7AE7">
              <w:rPr>
                <w:webHidden/>
              </w:rPr>
            </w:r>
            <w:r w:rsidR="002F7AE7">
              <w:rPr>
                <w:webHidden/>
              </w:rPr>
              <w:fldChar w:fldCharType="separate"/>
            </w:r>
            <w:r w:rsidR="002F7AE7">
              <w:rPr>
                <w:webHidden/>
              </w:rPr>
              <w:t>66</w:t>
            </w:r>
            <w:r w:rsidR="002F7AE7">
              <w:rPr>
                <w:webHidden/>
              </w:rPr>
              <w:fldChar w:fldCharType="end"/>
            </w:r>
          </w:hyperlink>
        </w:p>
        <w:p w14:paraId="7AC55F26" w14:textId="50BEFE88" w:rsidR="002F7AE7" w:rsidRDefault="00CF1416">
          <w:pPr>
            <w:pStyle w:val="TOC1"/>
            <w:rPr>
              <w:rFonts w:asciiTheme="minorHAnsi" w:hAnsiTheme="minorHAnsi"/>
              <w:b w:val="0"/>
              <w:bCs w:val="0"/>
              <w:caps w:val="0"/>
              <w:sz w:val="22"/>
              <w:szCs w:val="22"/>
            </w:rPr>
          </w:pPr>
          <w:hyperlink w:anchor="_Toc6998685" w:history="1">
            <w:r w:rsidR="002F7AE7" w:rsidRPr="00A246C5">
              <w:rPr>
                <w:rStyle w:val="Hyperlink"/>
              </w:rPr>
              <w:t>Section 10: Whakahau rongo</w:t>
            </w:r>
            <w:r w:rsidR="002F7AE7" w:rsidRPr="00A246C5">
              <w:rPr>
                <w:rStyle w:val="Hyperlink"/>
                <w:rFonts w:cs="Arial"/>
              </w:rPr>
              <w:t>ā</w:t>
            </w:r>
            <w:r w:rsidR="002F7AE7" w:rsidRPr="00A246C5">
              <w:rPr>
                <w:rStyle w:val="Hyperlink"/>
              </w:rPr>
              <w:t xml:space="preserve"> | Medicines management</w:t>
            </w:r>
            <w:r w:rsidR="002F7AE7">
              <w:rPr>
                <w:webHidden/>
              </w:rPr>
              <w:tab/>
            </w:r>
            <w:r w:rsidR="002F7AE7">
              <w:rPr>
                <w:webHidden/>
              </w:rPr>
              <w:fldChar w:fldCharType="begin"/>
            </w:r>
            <w:r w:rsidR="002F7AE7">
              <w:rPr>
                <w:webHidden/>
              </w:rPr>
              <w:instrText xml:space="preserve"> PAGEREF _Toc6998685 \h </w:instrText>
            </w:r>
            <w:r w:rsidR="002F7AE7">
              <w:rPr>
                <w:webHidden/>
              </w:rPr>
            </w:r>
            <w:r w:rsidR="002F7AE7">
              <w:rPr>
                <w:webHidden/>
              </w:rPr>
              <w:fldChar w:fldCharType="separate"/>
            </w:r>
            <w:r w:rsidR="002F7AE7">
              <w:rPr>
                <w:webHidden/>
              </w:rPr>
              <w:t>67</w:t>
            </w:r>
            <w:r w:rsidR="002F7AE7">
              <w:rPr>
                <w:webHidden/>
              </w:rPr>
              <w:fldChar w:fldCharType="end"/>
            </w:r>
          </w:hyperlink>
        </w:p>
        <w:p w14:paraId="00E023A1" w14:textId="64ABCF26" w:rsidR="002F7AE7" w:rsidRDefault="00CF1416">
          <w:pPr>
            <w:pStyle w:val="TOC2"/>
            <w:rPr>
              <w:rFonts w:asciiTheme="minorHAnsi" w:hAnsiTheme="minorHAnsi"/>
              <w:bCs w:val="0"/>
              <w:sz w:val="22"/>
              <w:szCs w:val="22"/>
            </w:rPr>
          </w:pPr>
          <w:hyperlink w:anchor="_Toc6998686" w:history="1">
            <w:r w:rsidR="002F7AE7" w:rsidRPr="00A246C5">
              <w:rPr>
                <w:rStyle w:val="Hyperlink"/>
              </w:rPr>
              <w:t>Indicator 24.</w:t>
            </w:r>
            <w:r w:rsidR="002F7AE7">
              <w:rPr>
                <w:rFonts w:asciiTheme="minorHAnsi" w:hAnsiTheme="minorHAnsi"/>
                <w:bCs w:val="0"/>
                <w:sz w:val="22"/>
                <w:szCs w:val="22"/>
              </w:rPr>
              <w:tab/>
            </w:r>
            <w:r w:rsidR="002F7AE7" w:rsidRPr="00A246C5">
              <w:rPr>
                <w:rStyle w:val="Hyperlink"/>
              </w:rPr>
              <w:t>Prescribing and medicine reconciliation</w:t>
            </w:r>
            <w:r w:rsidR="002F7AE7">
              <w:rPr>
                <w:webHidden/>
              </w:rPr>
              <w:tab/>
            </w:r>
            <w:r w:rsidR="002F7AE7">
              <w:rPr>
                <w:webHidden/>
              </w:rPr>
              <w:fldChar w:fldCharType="begin"/>
            </w:r>
            <w:r w:rsidR="002F7AE7">
              <w:rPr>
                <w:webHidden/>
              </w:rPr>
              <w:instrText xml:space="preserve"> PAGEREF _Toc6998686 \h </w:instrText>
            </w:r>
            <w:r w:rsidR="002F7AE7">
              <w:rPr>
                <w:webHidden/>
              </w:rPr>
            </w:r>
            <w:r w:rsidR="002F7AE7">
              <w:rPr>
                <w:webHidden/>
              </w:rPr>
              <w:fldChar w:fldCharType="separate"/>
            </w:r>
            <w:r w:rsidR="002F7AE7">
              <w:rPr>
                <w:webHidden/>
              </w:rPr>
              <w:t>68</w:t>
            </w:r>
            <w:r w:rsidR="002F7AE7">
              <w:rPr>
                <w:webHidden/>
              </w:rPr>
              <w:fldChar w:fldCharType="end"/>
            </w:r>
          </w:hyperlink>
        </w:p>
        <w:p w14:paraId="31C37D7A" w14:textId="7AAA4A6F" w:rsidR="002F7AE7" w:rsidRDefault="00CF1416">
          <w:pPr>
            <w:pStyle w:val="TOC2"/>
            <w:rPr>
              <w:rFonts w:asciiTheme="minorHAnsi" w:hAnsiTheme="minorHAnsi"/>
              <w:bCs w:val="0"/>
              <w:sz w:val="22"/>
              <w:szCs w:val="22"/>
            </w:rPr>
          </w:pPr>
          <w:hyperlink w:anchor="_Toc6998687" w:history="1">
            <w:r w:rsidR="002F7AE7" w:rsidRPr="00A246C5">
              <w:rPr>
                <w:rStyle w:val="Hyperlink"/>
              </w:rPr>
              <w:t>Indicator 25.</w:t>
            </w:r>
            <w:r w:rsidR="002F7AE7">
              <w:rPr>
                <w:rFonts w:asciiTheme="minorHAnsi" w:hAnsiTheme="minorHAnsi"/>
                <w:bCs w:val="0"/>
                <w:sz w:val="22"/>
                <w:szCs w:val="22"/>
              </w:rPr>
              <w:tab/>
            </w:r>
            <w:r w:rsidR="002F7AE7" w:rsidRPr="00A246C5">
              <w:rPr>
                <w:rStyle w:val="Hyperlink"/>
              </w:rPr>
              <w:t>Controlled drugs</w:t>
            </w:r>
            <w:r w:rsidR="002F7AE7">
              <w:rPr>
                <w:webHidden/>
              </w:rPr>
              <w:tab/>
            </w:r>
            <w:r w:rsidR="002F7AE7">
              <w:rPr>
                <w:webHidden/>
              </w:rPr>
              <w:fldChar w:fldCharType="begin"/>
            </w:r>
            <w:r w:rsidR="002F7AE7">
              <w:rPr>
                <w:webHidden/>
              </w:rPr>
              <w:instrText xml:space="preserve"> PAGEREF _Toc6998687 \h </w:instrText>
            </w:r>
            <w:r w:rsidR="002F7AE7">
              <w:rPr>
                <w:webHidden/>
              </w:rPr>
            </w:r>
            <w:r w:rsidR="002F7AE7">
              <w:rPr>
                <w:webHidden/>
              </w:rPr>
              <w:fldChar w:fldCharType="separate"/>
            </w:r>
            <w:r w:rsidR="002F7AE7">
              <w:rPr>
                <w:webHidden/>
              </w:rPr>
              <w:t>70</w:t>
            </w:r>
            <w:r w:rsidR="002F7AE7">
              <w:rPr>
                <w:webHidden/>
              </w:rPr>
              <w:fldChar w:fldCharType="end"/>
            </w:r>
          </w:hyperlink>
        </w:p>
        <w:p w14:paraId="33B18EAF" w14:textId="1765A496" w:rsidR="002F7AE7" w:rsidRDefault="00CF1416">
          <w:pPr>
            <w:pStyle w:val="TOC1"/>
            <w:rPr>
              <w:rFonts w:asciiTheme="minorHAnsi" w:hAnsiTheme="minorHAnsi"/>
              <w:b w:val="0"/>
              <w:bCs w:val="0"/>
              <w:caps w:val="0"/>
              <w:sz w:val="22"/>
              <w:szCs w:val="22"/>
            </w:rPr>
          </w:pPr>
          <w:hyperlink w:anchor="_Toc6998688" w:history="1">
            <w:r w:rsidR="002F7AE7" w:rsidRPr="00A246C5">
              <w:rPr>
                <w:rStyle w:val="Hyperlink"/>
              </w:rPr>
              <w:t>Section 11: Tikanga pokenga | Infection prevention and control</w:t>
            </w:r>
            <w:r w:rsidR="002F7AE7">
              <w:rPr>
                <w:webHidden/>
              </w:rPr>
              <w:tab/>
            </w:r>
            <w:r w:rsidR="002F7AE7">
              <w:rPr>
                <w:webHidden/>
              </w:rPr>
              <w:fldChar w:fldCharType="begin"/>
            </w:r>
            <w:r w:rsidR="002F7AE7">
              <w:rPr>
                <w:webHidden/>
              </w:rPr>
              <w:instrText xml:space="preserve"> PAGEREF _Toc6998688 \h </w:instrText>
            </w:r>
            <w:r w:rsidR="002F7AE7">
              <w:rPr>
                <w:webHidden/>
              </w:rPr>
            </w:r>
            <w:r w:rsidR="002F7AE7">
              <w:rPr>
                <w:webHidden/>
              </w:rPr>
              <w:fldChar w:fldCharType="separate"/>
            </w:r>
            <w:r w:rsidR="002F7AE7">
              <w:rPr>
                <w:webHidden/>
              </w:rPr>
              <w:t>73</w:t>
            </w:r>
            <w:r w:rsidR="002F7AE7">
              <w:rPr>
                <w:webHidden/>
              </w:rPr>
              <w:fldChar w:fldCharType="end"/>
            </w:r>
          </w:hyperlink>
        </w:p>
        <w:p w14:paraId="3DBB9AFD" w14:textId="7AC0E0E7" w:rsidR="002F7AE7" w:rsidRDefault="00CF1416">
          <w:pPr>
            <w:pStyle w:val="TOC2"/>
            <w:rPr>
              <w:rFonts w:asciiTheme="minorHAnsi" w:hAnsiTheme="minorHAnsi"/>
              <w:bCs w:val="0"/>
              <w:sz w:val="22"/>
              <w:szCs w:val="22"/>
            </w:rPr>
          </w:pPr>
          <w:hyperlink w:anchor="_Toc6998689" w:history="1">
            <w:r w:rsidR="002F7AE7" w:rsidRPr="00A246C5">
              <w:rPr>
                <w:rStyle w:val="Hyperlink"/>
              </w:rPr>
              <w:t>Indicator 26.</w:t>
            </w:r>
            <w:r w:rsidR="002F7AE7">
              <w:rPr>
                <w:rFonts w:asciiTheme="minorHAnsi" w:hAnsiTheme="minorHAnsi"/>
                <w:bCs w:val="0"/>
                <w:sz w:val="22"/>
                <w:szCs w:val="22"/>
              </w:rPr>
              <w:tab/>
            </w:r>
            <w:r w:rsidR="002F7AE7" w:rsidRPr="00A246C5">
              <w:rPr>
                <w:rStyle w:val="Hyperlink"/>
              </w:rPr>
              <w:t>Infection and health care waste</w:t>
            </w:r>
            <w:r w:rsidR="002F7AE7">
              <w:rPr>
                <w:webHidden/>
              </w:rPr>
              <w:tab/>
            </w:r>
            <w:r w:rsidR="002F7AE7">
              <w:rPr>
                <w:webHidden/>
              </w:rPr>
              <w:fldChar w:fldCharType="begin"/>
            </w:r>
            <w:r w:rsidR="002F7AE7">
              <w:rPr>
                <w:webHidden/>
              </w:rPr>
              <w:instrText xml:space="preserve"> PAGEREF _Toc6998689 \h </w:instrText>
            </w:r>
            <w:r w:rsidR="002F7AE7">
              <w:rPr>
                <w:webHidden/>
              </w:rPr>
            </w:r>
            <w:r w:rsidR="002F7AE7">
              <w:rPr>
                <w:webHidden/>
              </w:rPr>
              <w:fldChar w:fldCharType="separate"/>
            </w:r>
            <w:r w:rsidR="002F7AE7">
              <w:rPr>
                <w:webHidden/>
              </w:rPr>
              <w:t>74</w:t>
            </w:r>
            <w:r w:rsidR="002F7AE7">
              <w:rPr>
                <w:webHidden/>
              </w:rPr>
              <w:fldChar w:fldCharType="end"/>
            </w:r>
          </w:hyperlink>
        </w:p>
        <w:p w14:paraId="6135C213" w14:textId="4C978C83" w:rsidR="002F7AE7" w:rsidRDefault="00CF1416">
          <w:pPr>
            <w:pStyle w:val="TOC1"/>
            <w:rPr>
              <w:rFonts w:asciiTheme="minorHAnsi" w:hAnsiTheme="minorHAnsi"/>
              <w:b w:val="0"/>
              <w:bCs w:val="0"/>
              <w:caps w:val="0"/>
              <w:sz w:val="22"/>
              <w:szCs w:val="22"/>
            </w:rPr>
          </w:pPr>
          <w:hyperlink w:anchor="_Toc6998690" w:history="1">
            <w:r w:rsidR="002F7AE7" w:rsidRPr="00A246C5">
              <w:rPr>
                <w:rStyle w:val="Hyperlink"/>
              </w:rPr>
              <w:t>Section 12: Tikanga ohotata | Risk management</w:t>
            </w:r>
            <w:r w:rsidR="002F7AE7">
              <w:rPr>
                <w:webHidden/>
              </w:rPr>
              <w:tab/>
            </w:r>
            <w:r w:rsidR="002F7AE7">
              <w:rPr>
                <w:webHidden/>
              </w:rPr>
              <w:fldChar w:fldCharType="begin"/>
            </w:r>
            <w:r w:rsidR="002F7AE7">
              <w:rPr>
                <w:webHidden/>
              </w:rPr>
              <w:instrText xml:space="preserve"> PAGEREF _Toc6998690 \h </w:instrText>
            </w:r>
            <w:r w:rsidR="002F7AE7">
              <w:rPr>
                <w:webHidden/>
              </w:rPr>
            </w:r>
            <w:r w:rsidR="002F7AE7">
              <w:rPr>
                <w:webHidden/>
              </w:rPr>
              <w:fldChar w:fldCharType="separate"/>
            </w:r>
            <w:r w:rsidR="002F7AE7">
              <w:rPr>
                <w:webHidden/>
              </w:rPr>
              <w:t>76</w:t>
            </w:r>
            <w:r w:rsidR="002F7AE7">
              <w:rPr>
                <w:webHidden/>
              </w:rPr>
              <w:fldChar w:fldCharType="end"/>
            </w:r>
          </w:hyperlink>
        </w:p>
        <w:p w14:paraId="6663331C" w14:textId="5A08D215" w:rsidR="002F7AE7" w:rsidRDefault="00CF1416">
          <w:pPr>
            <w:pStyle w:val="TOC2"/>
            <w:rPr>
              <w:rFonts w:asciiTheme="minorHAnsi" w:hAnsiTheme="minorHAnsi"/>
              <w:bCs w:val="0"/>
              <w:sz w:val="22"/>
              <w:szCs w:val="22"/>
            </w:rPr>
          </w:pPr>
          <w:hyperlink w:anchor="_Toc6998691" w:history="1">
            <w:r w:rsidR="002F7AE7" w:rsidRPr="00A246C5">
              <w:rPr>
                <w:rStyle w:val="Hyperlink"/>
              </w:rPr>
              <w:t>Indicator 27.</w:t>
            </w:r>
            <w:r w:rsidR="002F7AE7">
              <w:rPr>
                <w:rFonts w:asciiTheme="minorHAnsi" w:hAnsiTheme="minorHAnsi"/>
                <w:bCs w:val="0"/>
                <w:sz w:val="22"/>
                <w:szCs w:val="22"/>
              </w:rPr>
              <w:tab/>
            </w:r>
            <w:r w:rsidR="002F7AE7" w:rsidRPr="00A246C5">
              <w:rPr>
                <w:rStyle w:val="Hyperlink"/>
              </w:rPr>
              <w:t>Adverse events</w:t>
            </w:r>
            <w:r w:rsidR="002F7AE7">
              <w:rPr>
                <w:webHidden/>
              </w:rPr>
              <w:tab/>
            </w:r>
            <w:r w:rsidR="002F7AE7">
              <w:rPr>
                <w:webHidden/>
              </w:rPr>
              <w:fldChar w:fldCharType="begin"/>
            </w:r>
            <w:r w:rsidR="002F7AE7">
              <w:rPr>
                <w:webHidden/>
              </w:rPr>
              <w:instrText xml:space="preserve"> PAGEREF _Toc6998691 \h </w:instrText>
            </w:r>
            <w:r w:rsidR="002F7AE7">
              <w:rPr>
                <w:webHidden/>
              </w:rPr>
            </w:r>
            <w:r w:rsidR="002F7AE7">
              <w:rPr>
                <w:webHidden/>
              </w:rPr>
              <w:fldChar w:fldCharType="separate"/>
            </w:r>
            <w:r w:rsidR="002F7AE7">
              <w:rPr>
                <w:webHidden/>
              </w:rPr>
              <w:t>77</w:t>
            </w:r>
            <w:r w:rsidR="002F7AE7">
              <w:rPr>
                <w:webHidden/>
              </w:rPr>
              <w:fldChar w:fldCharType="end"/>
            </w:r>
          </w:hyperlink>
        </w:p>
        <w:p w14:paraId="06AC9BB5" w14:textId="693A618C" w:rsidR="002F7AE7" w:rsidRDefault="00CF1416">
          <w:pPr>
            <w:pStyle w:val="TOC2"/>
            <w:rPr>
              <w:rFonts w:asciiTheme="minorHAnsi" w:hAnsiTheme="minorHAnsi"/>
              <w:bCs w:val="0"/>
              <w:sz w:val="22"/>
              <w:szCs w:val="22"/>
            </w:rPr>
          </w:pPr>
          <w:hyperlink w:anchor="_Toc6998692" w:history="1">
            <w:r w:rsidR="002F7AE7" w:rsidRPr="00A246C5">
              <w:rPr>
                <w:rStyle w:val="Hyperlink"/>
              </w:rPr>
              <w:t>Indicator 28.</w:t>
            </w:r>
            <w:r w:rsidR="002F7AE7">
              <w:rPr>
                <w:rFonts w:asciiTheme="minorHAnsi" w:hAnsiTheme="minorHAnsi"/>
                <w:bCs w:val="0"/>
                <w:sz w:val="22"/>
                <w:szCs w:val="22"/>
              </w:rPr>
              <w:tab/>
            </w:r>
            <w:r w:rsidR="002F7AE7" w:rsidRPr="00A246C5">
              <w:rPr>
                <w:rStyle w:val="Hyperlink"/>
              </w:rPr>
              <w:t>Emergency and service disruption</w:t>
            </w:r>
            <w:r w:rsidR="002F7AE7">
              <w:rPr>
                <w:webHidden/>
              </w:rPr>
              <w:tab/>
            </w:r>
            <w:r w:rsidR="002F7AE7">
              <w:rPr>
                <w:webHidden/>
              </w:rPr>
              <w:fldChar w:fldCharType="begin"/>
            </w:r>
            <w:r w:rsidR="002F7AE7">
              <w:rPr>
                <w:webHidden/>
              </w:rPr>
              <w:instrText xml:space="preserve"> PAGEREF _Toc6998692 \h </w:instrText>
            </w:r>
            <w:r w:rsidR="002F7AE7">
              <w:rPr>
                <w:webHidden/>
              </w:rPr>
            </w:r>
            <w:r w:rsidR="002F7AE7">
              <w:rPr>
                <w:webHidden/>
              </w:rPr>
              <w:fldChar w:fldCharType="separate"/>
            </w:r>
            <w:r w:rsidR="002F7AE7">
              <w:rPr>
                <w:webHidden/>
              </w:rPr>
              <w:t>80</w:t>
            </w:r>
            <w:r w:rsidR="002F7AE7">
              <w:rPr>
                <w:webHidden/>
              </w:rPr>
              <w:fldChar w:fldCharType="end"/>
            </w:r>
          </w:hyperlink>
        </w:p>
        <w:p w14:paraId="26DE1CC3" w14:textId="26F1127F" w:rsidR="002F7AE7" w:rsidRDefault="00CF1416">
          <w:pPr>
            <w:pStyle w:val="TOC1"/>
            <w:rPr>
              <w:rFonts w:asciiTheme="minorHAnsi" w:hAnsiTheme="minorHAnsi"/>
              <w:b w:val="0"/>
              <w:bCs w:val="0"/>
              <w:caps w:val="0"/>
              <w:sz w:val="22"/>
              <w:szCs w:val="22"/>
            </w:rPr>
          </w:pPr>
          <w:hyperlink w:anchor="_Toc6998693" w:history="1">
            <w:r w:rsidR="002F7AE7" w:rsidRPr="00A246C5">
              <w:rPr>
                <w:rStyle w:val="Hyperlink"/>
              </w:rPr>
              <w:t>5.</w:t>
            </w:r>
            <w:r w:rsidR="002F7AE7">
              <w:rPr>
                <w:rFonts w:asciiTheme="minorHAnsi" w:hAnsiTheme="minorHAnsi"/>
                <w:b w:val="0"/>
                <w:bCs w:val="0"/>
                <w:caps w:val="0"/>
                <w:sz w:val="22"/>
                <w:szCs w:val="22"/>
              </w:rPr>
              <w:tab/>
            </w:r>
            <w:r w:rsidR="002F7AE7" w:rsidRPr="00A246C5">
              <w:rPr>
                <w:rStyle w:val="Hyperlink"/>
              </w:rPr>
              <w:t>Glossary</w:t>
            </w:r>
            <w:r w:rsidR="002F7AE7">
              <w:rPr>
                <w:webHidden/>
              </w:rPr>
              <w:tab/>
            </w:r>
            <w:r w:rsidR="002F7AE7">
              <w:rPr>
                <w:webHidden/>
              </w:rPr>
              <w:fldChar w:fldCharType="begin"/>
            </w:r>
            <w:r w:rsidR="002F7AE7">
              <w:rPr>
                <w:webHidden/>
              </w:rPr>
              <w:instrText xml:space="preserve"> PAGEREF _Toc6998693 \h </w:instrText>
            </w:r>
            <w:r w:rsidR="002F7AE7">
              <w:rPr>
                <w:webHidden/>
              </w:rPr>
            </w:r>
            <w:r w:rsidR="002F7AE7">
              <w:rPr>
                <w:webHidden/>
              </w:rPr>
              <w:fldChar w:fldCharType="separate"/>
            </w:r>
            <w:r w:rsidR="002F7AE7">
              <w:rPr>
                <w:webHidden/>
              </w:rPr>
              <w:t>82</w:t>
            </w:r>
            <w:r w:rsidR="002F7AE7">
              <w:rPr>
                <w:webHidden/>
              </w:rPr>
              <w:fldChar w:fldCharType="end"/>
            </w:r>
          </w:hyperlink>
        </w:p>
        <w:p w14:paraId="32022C8C" w14:textId="2079F224" w:rsidR="002F7AE7" w:rsidRDefault="00CF1416">
          <w:pPr>
            <w:pStyle w:val="TOC1"/>
            <w:rPr>
              <w:rFonts w:asciiTheme="minorHAnsi" w:hAnsiTheme="minorHAnsi"/>
              <w:b w:val="0"/>
              <w:bCs w:val="0"/>
              <w:caps w:val="0"/>
              <w:sz w:val="22"/>
              <w:szCs w:val="22"/>
            </w:rPr>
          </w:pPr>
          <w:hyperlink w:anchor="_Toc6998694" w:history="1">
            <w:r w:rsidR="002F7AE7" w:rsidRPr="00A246C5">
              <w:rPr>
                <w:rStyle w:val="Hyperlink"/>
              </w:rPr>
              <w:t>Appendix 1. Medical equipment and emergency medicines register</w:t>
            </w:r>
            <w:r w:rsidR="002F7AE7">
              <w:rPr>
                <w:webHidden/>
              </w:rPr>
              <w:tab/>
            </w:r>
            <w:r w:rsidR="002F7AE7">
              <w:rPr>
                <w:webHidden/>
              </w:rPr>
              <w:fldChar w:fldCharType="begin"/>
            </w:r>
            <w:r w:rsidR="002F7AE7">
              <w:rPr>
                <w:webHidden/>
              </w:rPr>
              <w:instrText xml:space="preserve"> PAGEREF _Toc6998694 \h </w:instrText>
            </w:r>
            <w:r w:rsidR="002F7AE7">
              <w:rPr>
                <w:webHidden/>
              </w:rPr>
            </w:r>
            <w:r w:rsidR="002F7AE7">
              <w:rPr>
                <w:webHidden/>
              </w:rPr>
              <w:fldChar w:fldCharType="separate"/>
            </w:r>
            <w:r w:rsidR="002F7AE7">
              <w:rPr>
                <w:webHidden/>
              </w:rPr>
              <w:t>87</w:t>
            </w:r>
            <w:r w:rsidR="002F7AE7">
              <w:rPr>
                <w:webHidden/>
              </w:rPr>
              <w:fldChar w:fldCharType="end"/>
            </w:r>
          </w:hyperlink>
        </w:p>
        <w:p w14:paraId="7AEE032F" w14:textId="079C4CAE" w:rsidR="00325E11" w:rsidRDefault="00242EBE" w:rsidP="00664BA7">
          <w:pPr>
            <w:tabs>
              <w:tab w:val="right" w:leader="dot" w:pos="9498"/>
            </w:tabs>
            <w:spacing w:before="120" w:after="120"/>
            <w:rPr>
              <w:b/>
              <w:bCs/>
              <w:noProof/>
            </w:rPr>
          </w:pPr>
          <w:r>
            <w:rPr>
              <w:caps/>
              <w:noProof/>
              <w:color w:val="auto"/>
              <w:sz w:val="24"/>
              <w:szCs w:val="28"/>
            </w:rPr>
            <w:fldChar w:fldCharType="end"/>
          </w:r>
        </w:p>
      </w:sdtContent>
    </w:sdt>
    <w:p w14:paraId="5CD2D797" w14:textId="12F18D9B" w:rsidR="001D1D55" w:rsidRDefault="001D1D55">
      <w:pPr>
        <w:spacing w:after="0"/>
        <w:rPr>
          <w:b/>
          <w:color w:val="EE7624"/>
          <w:sz w:val="28"/>
        </w:rPr>
      </w:pPr>
      <w:r>
        <w:br w:type="page"/>
      </w:r>
    </w:p>
    <w:p w14:paraId="76072CE1" w14:textId="14780E8C" w:rsidR="00981DAA" w:rsidRPr="00981DAA" w:rsidRDefault="00212685" w:rsidP="00664BA7">
      <w:pPr>
        <w:pStyle w:val="HHLMainHeading"/>
        <w:tabs>
          <w:tab w:val="left" w:pos="567"/>
        </w:tabs>
        <w:ind w:left="567" w:hanging="567"/>
      </w:pPr>
      <w:bookmarkStart w:id="0" w:name="_Toc6998645"/>
      <w:r>
        <w:lastRenderedPageBreak/>
        <w:t>Introduction</w:t>
      </w:r>
      <w:bookmarkEnd w:id="0"/>
    </w:p>
    <w:p w14:paraId="4AAB0422" w14:textId="0C952D90" w:rsidR="00D45215" w:rsidRPr="00664BA7" w:rsidDel="008D1443" w:rsidRDefault="007403EB" w:rsidP="00D45215">
      <w:pPr>
        <w:pStyle w:val="HHLBodyText"/>
        <w:rPr>
          <w:sz w:val="22"/>
          <w:szCs w:val="22"/>
        </w:rPr>
      </w:pPr>
      <w:r w:rsidRPr="00664BA7">
        <w:rPr>
          <w:sz w:val="22"/>
          <w:szCs w:val="22"/>
        </w:rPr>
        <w:t>During</w:t>
      </w:r>
      <w:r w:rsidRPr="00664BA7" w:rsidDel="008D1443">
        <w:rPr>
          <w:sz w:val="22"/>
          <w:szCs w:val="22"/>
        </w:rPr>
        <w:t xml:space="preserve"> </w:t>
      </w:r>
      <w:r w:rsidR="00D45215" w:rsidRPr="00664BA7" w:rsidDel="008D1443">
        <w:rPr>
          <w:sz w:val="22"/>
          <w:szCs w:val="22"/>
        </w:rPr>
        <w:t xml:space="preserve">2018 the </w:t>
      </w:r>
      <w:r w:rsidRPr="00664BA7">
        <w:rPr>
          <w:sz w:val="22"/>
          <w:szCs w:val="22"/>
        </w:rPr>
        <w:t xml:space="preserve">Royal New Zealand </w:t>
      </w:r>
      <w:r w:rsidR="00D45215" w:rsidRPr="00664BA7" w:rsidDel="008D1443">
        <w:rPr>
          <w:sz w:val="22"/>
          <w:szCs w:val="22"/>
        </w:rPr>
        <w:t xml:space="preserve">College </w:t>
      </w:r>
      <w:r w:rsidRPr="00664BA7">
        <w:rPr>
          <w:sz w:val="22"/>
          <w:szCs w:val="22"/>
        </w:rPr>
        <w:t>of General Practitioners (</w:t>
      </w:r>
      <w:r w:rsidR="0030074F" w:rsidRPr="00664BA7">
        <w:rPr>
          <w:sz w:val="22"/>
          <w:szCs w:val="22"/>
        </w:rPr>
        <w:t>the College</w:t>
      </w:r>
      <w:r w:rsidRPr="00664BA7">
        <w:rPr>
          <w:sz w:val="22"/>
          <w:szCs w:val="22"/>
        </w:rPr>
        <w:t xml:space="preserve">) </w:t>
      </w:r>
      <w:r w:rsidR="00D45215" w:rsidRPr="00664BA7" w:rsidDel="008D1443">
        <w:rPr>
          <w:sz w:val="22"/>
          <w:szCs w:val="22"/>
        </w:rPr>
        <w:t xml:space="preserve">announced a review of its quality standard </w:t>
      </w:r>
      <w:r w:rsidR="00D45215" w:rsidRPr="00664BA7" w:rsidDel="008D1443">
        <w:rPr>
          <w:i/>
          <w:sz w:val="22"/>
          <w:szCs w:val="22"/>
        </w:rPr>
        <w:t>Aiming for Excellence</w:t>
      </w:r>
      <w:r w:rsidR="00D45215" w:rsidRPr="00664BA7" w:rsidDel="008D1443">
        <w:rPr>
          <w:sz w:val="22"/>
          <w:szCs w:val="22"/>
        </w:rPr>
        <w:t xml:space="preserve"> and CORNERSTONE</w:t>
      </w:r>
      <w:r w:rsidR="008F3839" w:rsidRPr="008F3839">
        <w:rPr>
          <w:sz w:val="22"/>
          <w:szCs w:val="22"/>
          <w:vertAlign w:val="superscript"/>
        </w:rPr>
        <w:t>®</w:t>
      </w:r>
      <w:r w:rsidR="00D45215" w:rsidRPr="00664BA7" w:rsidDel="008D1443">
        <w:rPr>
          <w:sz w:val="22"/>
          <w:szCs w:val="22"/>
        </w:rPr>
        <w:t xml:space="preserve"> quality improvement programme.</w:t>
      </w:r>
    </w:p>
    <w:p w14:paraId="1DCA6A50" w14:textId="26DDB063" w:rsidR="00D45215" w:rsidRPr="00664BA7" w:rsidRDefault="00D45215" w:rsidP="00D45215">
      <w:pPr>
        <w:pStyle w:val="HHLBodyText"/>
        <w:rPr>
          <w:sz w:val="22"/>
          <w:szCs w:val="22"/>
        </w:rPr>
      </w:pPr>
      <w:r w:rsidRPr="00664BA7">
        <w:rPr>
          <w:i/>
          <w:sz w:val="22"/>
          <w:szCs w:val="22"/>
        </w:rPr>
        <w:t>Aiming for Excellence</w:t>
      </w:r>
      <w:r w:rsidRPr="00664BA7">
        <w:rPr>
          <w:sz w:val="22"/>
          <w:szCs w:val="22"/>
        </w:rPr>
        <w:t xml:space="preserve"> and CORNERSTONE</w:t>
      </w:r>
      <w:r w:rsidR="008F3839" w:rsidRPr="008F3839">
        <w:rPr>
          <w:sz w:val="22"/>
          <w:szCs w:val="22"/>
          <w:vertAlign w:val="superscript"/>
        </w:rPr>
        <w:t>®</w:t>
      </w:r>
      <w:r w:rsidRPr="00664BA7">
        <w:rPr>
          <w:sz w:val="22"/>
          <w:szCs w:val="22"/>
        </w:rPr>
        <w:t xml:space="preserve"> have been in place for about 20 years. While they have evolved during that time, changes in the sector, and in New Zealand as a whole, have happened faster</w:t>
      </w:r>
      <w:r w:rsidR="007403EB" w:rsidRPr="00664BA7">
        <w:rPr>
          <w:sz w:val="22"/>
          <w:szCs w:val="22"/>
        </w:rPr>
        <w:t>.</w:t>
      </w:r>
      <w:r w:rsidRPr="00664BA7">
        <w:rPr>
          <w:sz w:val="22"/>
          <w:szCs w:val="22"/>
        </w:rPr>
        <w:t xml:space="preserve"> </w:t>
      </w:r>
    </w:p>
    <w:p w14:paraId="795D505B" w14:textId="62C9357B" w:rsidR="00D45215" w:rsidRPr="00664BA7" w:rsidRDefault="00D45215" w:rsidP="00D45215">
      <w:pPr>
        <w:pStyle w:val="HHLBodyText"/>
        <w:rPr>
          <w:sz w:val="22"/>
          <w:szCs w:val="22"/>
        </w:rPr>
      </w:pPr>
      <w:r w:rsidRPr="00664BA7">
        <w:rPr>
          <w:sz w:val="22"/>
          <w:szCs w:val="22"/>
        </w:rPr>
        <w:t xml:space="preserve">College members, general practice teams and Primary Health Organisations (PHOs) </w:t>
      </w:r>
      <w:r w:rsidR="007403EB" w:rsidRPr="00664BA7">
        <w:rPr>
          <w:sz w:val="22"/>
          <w:szCs w:val="22"/>
        </w:rPr>
        <w:t xml:space="preserve">also </w:t>
      </w:r>
      <w:r w:rsidRPr="00664BA7">
        <w:rPr>
          <w:sz w:val="22"/>
          <w:szCs w:val="22"/>
        </w:rPr>
        <w:t xml:space="preserve">advised they wanted quality standards that support </w:t>
      </w:r>
      <w:r w:rsidR="007403EB" w:rsidRPr="00664BA7">
        <w:rPr>
          <w:sz w:val="22"/>
          <w:szCs w:val="22"/>
        </w:rPr>
        <w:t>general practice</w:t>
      </w:r>
      <w:r w:rsidR="00CB594A" w:rsidRPr="00664BA7">
        <w:rPr>
          <w:sz w:val="22"/>
          <w:szCs w:val="22"/>
        </w:rPr>
        <w:t xml:space="preserve"> </w:t>
      </w:r>
      <w:r w:rsidR="005553AD" w:rsidRPr="00664BA7">
        <w:rPr>
          <w:sz w:val="22"/>
          <w:szCs w:val="22"/>
        </w:rPr>
        <w:t xml:space="preserve">with </w:t>
      </w:r>
      <w:r w:rsidR="00CB594A" w:rsidRPr="00664BA7">
        <w:rPr>
          <w:sz w:val="22"/>
          <w:szCs w:val="22"/>
        </w:rPr>
        <w:t>the delivery of</w:t>
      </w:r>
      <w:r w:rsidR="007403EB" w:rsidRPr="00664BA7">
        <w:rPr>
          <w:sz w:val="22"/>
          <w:szCs w:val="22"/>
        </w:rPr>
        <w:t xml:space="preserve"> </w:t>
      </w:r>
      <w:r w:rsidRPr="00664BA7">
        <w:rPr>
          <w:sz w:val="22"/>
          <w:szCs w:val="22"/>
        </w:rPr>
        <w:t>safe and equitabl</w:t>
      </w:r>
      <w:r w:rsidR="00CB594A" w:rsidRPr="00664BA7">
        <w:rPr>
          <w:sz w:val="22"/>
          <w:szCs w:val="22"/>
        </w:rPr>
        <w:t>e care</w:t>
      </w:r>
      <w:r w:rsidRPr="00664BA7">
        <w:rPr>
          <w:sz w:val="22"/>
          <w:szCs w:val="22"/>
        </w:rPr>
        <w:t>.</w:t>
      </w:r>
    </w:p>
    <w:p w14:paraId="0710DB10" w14:textId="2026BDC3" w:rsidR="007403EB" w:rsidRPr="00664BA7" w:rsidRDefault="00DE69B6" w:rsidP="00D45215">
      <w:pPr>
        <w:pStyle w:val="HHLBodyText"/>
        <w:rPr>
          <w:sz w:val="22"/>
          <w:szCs w:val="22"/>
        </w:rPr>
      </w:pPr>
      <w:r w:rsidRPr="00664BA7">
        <w:rPr>
          <w:sz w:val="22"/>
          <w:szCs w:val="22"/>
        </w:rPr>
        <w:t>Th</w:t>
      </w:r>
      <w:r w:rsidR="005553AD" w:rsidRPr="00664BA7">
        <w:rPr>
          <w:sz w:val="22"/>
          <w:szCs w:val="22"/>
        </w:rPr>
        <w:t>is</w:t>
      </w:r>
      <w:r w:rsidRPr="00664BA7">
        <w:rPr>
          <w:sz w:val="22"/>
          <w:szCs w:val="22"/>
        </w:rPr>
        <w:t xml:space="preserve"> resulting draft </w:t>
      </w:r>
      <w:r w:rsidR="007403EB" w:rsidRPr="00664BA7">
        <w:rPr>
          <w:sz w:val="22"/>
          <w:szCs w:val="22"/>
        </w:rPr>
        <w:t xml:space="preserve">Foundation standard is the first module that contributes to the College’s </w:t>
      </w:r>
      <w:r w:rsidRPr="00664BA7">
        <w:rPr>
          <w:sz w:val="22"/>
          <w:szCs w:val="22"/>
        </w:rPr>
        <w:t xml:space="preserve">new </w:t>
      </w:r>
      <w:r w:rsidR="007403EB" w:rsidRPr="00664BA7">
        <w:rPr>
          <w:sz w:val="22"/>
          <w:szCs w:val="22"/>
        </w:rPr>
        <w:t>quality pr</w:t>
      </w:r>
      <w:r w:rsidR="0030074F" w:rsidRPr="00664BA7">
        <w:rPr>
          <w:sz w:val="22"/>
          <w:szCs w:val="22"/>
        </w:rPr>
        <w:t>o</w:t>
      </w:r>
      <w:r w:rsidR="007403EB" w:rsidRPr="00664BA7">
        <w:rPr>
          <w:sz w:val="22"/>
          <w:szCs w:val="22"/>
        </w:rPr>
        <w:t>gramme.</w:t>
      </w:r>
    </w:p>
    <w:p w14:paraId="59A8BEA9" w14:textId="3D36771A" w:rsidR="00DA3FCE" w:rsidRDefault="00DA3FCE" w:rsidP="00664BA7">
      <w:pPr>
        <w:pStyle w:val="HHLMainHeading"/>
        <w:tabs>
          <w:tab w:val="left" w:pos="567"/>
        </w:tabs>
        <w:ind w:left="567" w:hanging="567"/>
      </w:pPr>
      <w:bookmarkStart w:id="1" w:name="_Toc6998646"/>
      <w:r>
        <w:t>Purpose</w:t>
      </w:r>
      <w:bookmarkEnd w:id="1"/>
    </w:p>
    <w:p w14:paraId="4702F981" w14:textId="3D72A4B1" w:rsidR="00E82972" w:rsidRPr="00664BA7" w:rsidRDefault="00E82972" w:rsidP="00E82972">
      <w:pPr>
        <w:pStyle w:val="HHLBodyText"/>
        <w:rPr>
          <w:sz w:val="22"/>
          <w:szCs w:val="22"/>
        </w:rPr>
      </w:pPr>
      <w:r w:rsidRPr="00664BA7">
        <w:rPr>
          <w:sz w:val="22"/>
          <w:szCs w:val="22"/>
        </w:rPr>
        <w:t xml:space="preserve">This draft Foundation standard module is the output of a series of workshops with expert advisors to review and improve the current Foundation standard. This Foundation standard module also incorporates suggestions for improvement received from College members, practice teams, PHOs and other primary health care providers. </w:t>
      </w:r>
    </w:p>
    <w:p w14:paraId="582A976A" w14:textId="77777777" w:rsidR="00E82972" w:rsidRPr="00664BA7" w:rsidRDefault="00E82972" w:rsidP="00E82972">
      <w:pPr>
        <w:pStyle w:val="HHLBodyText"/>
        <w:rPr>
          <w:sz w:val="22"/>
          <w:szCs w:val="22"/>
        </w:rPr>
      </w:pPr>
      <w:r w:rsidRPr="00664BA7">
        <w:rPr>
          <w:sz w:val="22"/>
          <w:szCs w:val="22"/>
        </w:rPr>
        <w:t>This draft standard will be:</w:t>
      </w:r>
    </w:p>
    <w:p w14:paraId="74FF9745" w14:textId="605E3171" w:rsidR="00E82972" w:rsidRPr="00664BA7" w:rsidRDefault="00E82972" w:rsidP="00664BA7">
      <w:pPr>
        <w:pStyle w:val="HHLBodyText"/>
        <w:numPr>
          <w:ilvl w:val="0"/>
          <w:numId w:val="4"/>
        </w:numPr>
        <w:spacing w:before="0"/>
        <w:ind w:left="426" w:hanging="426"/>
        <w:rPr>
          <w:sz w:val="22"/>
          <w:szCs w:val="22"/>
        </w:rPr>
      </w:pPr>
      <w:r w:rsidRPr="00664BA7">
        <w:rPr>
          <w:sz w:val="22"/>
          <w:szCs w:val="22"/>
        </w:rPr>
        <w:t>Piloted with a representative sample of practices;</w:t>
      </w:r>
      <w:r w:rsidR="005553AD" w:rsidRPr="00664BA7">
        <w:rPr>
          <w:sz w:val="22"/>
          <w:szCs w:val="22"/>
        </w:rPr>
        <w:t xml:space="preserve"> and</w:t>
      </w:r>
      <w:r w:rsidRPr="00664BA7">
        <w:rPr>
          <w:sz w:val="22"/>
          <w:szCs w:val="22"/>
        </w:rPr>
        <w:t xml:space="preserve"> </w:t>
      </w:r>
    </w:p>
    <w:p w14:paraId="0C5B2323" w14:textId="77DA1885" w:rsidR="00E82972" w:rsidRPr="00664BA7" w:rsidRDefault="00E82972" w:rsidP="00664BA7">
      <w:pPr>
        <w:pStyle w:val="HHLBodyText"/>
        <w:numPr>
          <w:ilvl w:val="0"/>
          <w:numId w:val="4"/>
        </w:numPr>
        <w:spacing w:before="0"/>
        <w:ind w:left="426" w:hanging="426"/>
        <w:rPr>
          <w:sz w:val="22"/>
          <w:szCs w:val="22"/>
        </w:rPr>
      </w:pPr>
      <w:r w:rsidRPr="00664BA7">
        <w:rPr>
          <w:sz w:val="22"/>
          <w:szCs w:val="22"/>
        </w:rPr>
        <w:t xml:space="preserve">Made available on the College’s website so all </w:t>
      </w:r>
      <w:r w:rsidR="006C4E8C" w:rsidRPr="00664BA7">
        <w:rPr>
          <w:sz w:val="22"/>
          <w:szCs w:val="22"/>
        </w:rPr>
        <w:t>general</w:t>
      </w:r>
      <w:r w:rsidR="007707DF" w:rsidRPr="00664BA7">
        <w:rPr>
          <w:sz w:val="22"/>
          <w:szCs w:val="22"/>
        </w:rPr>
        <w:t xml:space="preserve"> practices have</w:t>
      </w:r>
      <w:r w:rsidRPr="00664BA7">
        <w:rPr>
          <w:sz w:val="22"/>
          <w:szCs w:val="22"/>
        </w:rPr>
        <w:t xml:space="preserve"> an opportunity to provide feedback; and</w:t>
      </w:r>
    </w:p>
    <w:p w14:paraId="1F5FACF0" w14:textId="7EFFABFB" w:rsidR="00E82972" w:rsidRPr="00664BA7" w:rsidRDefault="00E82972" w:rsidP="00664BA7">
      <w:pPr>
        <w:pStyle w:val="HHLBodyText"/>
        <w:numPr>
          <w:ilvl w:val="0"/>
          <w:numId w:val="4"/>
        </w:numPr>
        <w:spacing w:before="0"/>
        <w:ind w:left="426" w:hanging="426"/>
        <w:rPr>
          <w:sz w:val="22"/>
          <w:szCs w:val="22"/>
        </w:rPr>
      </w:pPr>
      <w:r w:rsidRPr="00664BA7">
        <w:rPr>
          <w:sz w:val="22"/>
          <w:szCs w:val="22"/>
        </w:rPr>
        <w:t>Provided to key external stakeholders (e.g. the Ministry of Health,</w:t>
      </w:r>
      <w:r w:rsidR="00DE69B6" w:rsidRPr="00664BA7">
        <w:rPr>
          <w:sz w:val="22"/>
          <w:szCs w:val="22"/>
        </w:rPr>
        <w:t xml:space="preserve"> Medical Council of New</w:t>
      </w:r>
      <w:r w:rsidR="008F3839">
        <w:rPr>
          <w:sz w:val="22"/>
          <w:szCs w:val="22"/>
        </w:rPr>
        <w:t> </w:t>
      </w:r>
      <w:r w:rsidR="00DE69B6" w:rsidRPr="00664BA7">
        <w:rPr>
          <w:sz w:val="22"/>
          <w:szCs w:val="22"/>
        </w:rPr>
        <w:t xml:space="preserve">Zealand, Medsafe </w:t>
      </w:r>
      <w:r w:rsidRPr="00664BA7">
        <w:rPr>
          <w:sz w:val="22"/>
          <w:szCs w:val="22"/>
        </w:rPr>
        <w:t>and relevant professional associations) for their feedback.</w:t>
      </w:r>
    </w:p>
    <w:p w14:paraId="2EB0E366" w14:textId="347A4802" w:rsidR="005B39AE" w:rsidRPr="00664BA7" w:rsidRDefault="00E82972" w:rsidP="00E82972">
      <w:pPr>
        <w:pStyle w:val="HHLBodyText"/>
        <w:rPr>
          <w:sz w:val="22"/>
          <w:szCs w:val="22"/>
        </w:rPr>
      </w:pPr>
      <w:r w:rsidRPr="00664BA7">
        <w:rPr>
          <w:sz w:val="22"/>
          <w:szCs w:val="22"/>
        </w:rPr>
        <w:t>Feedback from the pilot, practices and stakeholders will be incorporated into a final Foundation standard module to be implemented in October 2019</w:t>
      </w:r>
      <w:r w:rsidR="005B39AE" w:rsidRPr="00664BA7">
        <w:rPr>
          <w:sz w:val="22"/>
          <w:szCs w:val="22"/>
        </w:rPr>
        <w:t>.</w:t>
      </w:r>
    </w:p>
    <w:p w14:paraId="409E5BE7" w14:textId="34DB941A" w:rsidR="00A05AD4" w:rsidRPr="0051387A" w:rsidRDefault="00515945" w:rsidP="00664BA7">
      <w:pPr>
        <w:pStyle w:val="HHLMainHeading"/>
        <w:tabs>
          <w:tab w:val="left" w:pos="567"/>
        </w:tabs>
        <w:ind w:left="567" w:hanging="567"/>
      </w:pPr>
      <w:bookmarkStart w:id="2" w:name="_Toc6998647"/>
      <w:r>
        <w:t>Background</w:t>
      </w:r>
      <w:bookmarkEnd w:id="2"/>
    </w:p>
    <w:p w14:paraId="73CEAA37" w14:textId="4A509AF4" w:rsidR="00DA3FCE" w:rsidRPr="0051387A" w:rsidRDefault="00DE69B6" w:rsidP="00515945">
      <w:pPr>
        <w:pStyle w:val="HHLSubHeading"/>
        <w:ind w:left="540" w:hanging="540"/>
      </w:pPr>
      <w:bookmarkStart w:id="3" w:name="_Toc6998648"/>
      <w:bookmarkStart w:id="4" w:name="_Hlk536099758"/>
      <w:r>
        <w:t>T</w:t>
      </w:r>
      <w:r w:rsidR="00622722" w:rsidRPr="0051387A">
        <w:t>he College</w:t>
      </w:r>
      <w:r>
        <w:t>’s role in quality</w:t>
      </w:r>
      <w:bookmarkEnd w:id="3"/>
      <w:r w:rsidR="00F00DFD" w:rsidRPr="0051387A">
        <w:t xml:space="preserve"> </w:t>
      </w:r>
    </w:p>
    <w:bookmarkEnd w:id="4"/>
    <w:p w14:paraId="42F51B6D" w14:textId="38B03AE6" w:rsidR="00923357" w:rsidRPr="00664BA7" w:rsidRDefault="00DE69B6" w:rsidP="005D34FC">
      <w:pPr>
        <w:pStyle w:val="HHLBodyText"/>
        <w:rPr>
          <w:sz w:val="22"/>
          <w:szCs w:val="22"/>
        </w:rPr>
      </w:pPr>
      <w:r w:rsidRPr="00664BA7">
        <w:rPr>
          <w:sz w:val="22"/>
          <w:szCs w:val="22"/>
        </w:rPr>
        <w:t>A q</w:t>
      </w:r>
      <w:r w:rsidR="00D4324B" w:rsidRPr="00664BA7">
        <w:rPr>
          <w:sz w:val="22"/>
          <w:szCs w:val="22"/>
        </w:rPr>
        <w:t>uality</w:t>
      </w:r>
      <w:r w:rsidR="00F562D9" w:rsidRPr="00664BA7">
        <w:rPr>
          <w:sz w:val="22"/>
          <w:szCs w:val="22"/>
        </w:rPr>
        <w:t xml:space="preserve"> general practice</w:t>
      </w:r>
      <w:r w:rsidR="00D4324B" w:rsidRPr="00664BA7">
        <w:rPr>
          <w:sz w:val="22"/>
          <w:szCs w:val="22"/>
        </w:rPr>
        <w:t xml:space="preserve"> is one of the five </w:t>
      </w:r>
      <w:r w:rsidR="00F562D9" w:rsidRPr="00664BA7">
        <w:rPr>
          <w:sz w:val="22"/>
          <w:szCs w:val="22"/>
        </w:rPr>
        <w:t>focus areas for the College.</w:t>
      </w:r>
      <w:r w:rsidR="00D4324B" w:rsidRPr="00664BA7">
        <w:rPr>
          <w:sz w:val="22"/>
          <w:szCs w:val="22"/>
        </w:rPr>
        <w:t xml:space="preserve"> </w:t>
      </w:r>
    </w:p>
    <w:p w14:paraId="5177EAC1" w14:textId="27A31E97" w:rsidR="00923357" w:rsidRPr="00664BA7" w:rsidRDefault="00923357" w:rsidP="005D34FC">
      <w:pPr>
        <w:pStyle w:val="HHLBodyText"/>
        <w:rPr>
          <w:sz w:val="22"/>
          <w:szCs w:val="22"/>
        </w:rPr>
      </w:pPr>
      <w:r w:rsidRPr="00664BA7">
        <w:rPr>
          <w:sz w:val="22"/>
          <w:szCs w:val="22"/>
        </w:rPr>
        <w:t xml:space="preserve">As stated in the </w:t>
      </w:r>
      <w:r w:rsidR="00856407" w:rsidRPr="00664BA7">
        <w:rPr>
          <w:sz w:val="22"/>
          <w:szCs w:val="22"/>
        </w:rPr>
        <w:t>College’s</w:t>
      </w:r>
      <w:r w:rsidRPr="00664BA7">
        <w:rPr>
          <w:sz w:val="22"/>
          <w:szCs w:val="22"/>
        </w:rPr>
        <w:t xml:space="preserve"> recently released </w:t>
      </w:r>
      <w:r w:rsidR="004E44D3" w:rsidRPr="00664BA7">
        <w:rPr>
          <w:sz w:val="22"/>
          <w:szCs w:val="22"/>
        </w:rPr>
        <w:t>Statement</w:t>
      </w:r>
      <w:r w:rsidRPr="00664BA7">
        <w:rPr>
          <w:sz w:val="22"/>
          <w:szCs w:val="22"/>
        </w:rPr>
        <w:t xml:space="preserve"> of Strategic </w:t>
      </w:r>
      <w:r w:rsidR="00856407" w:rsidRPr="00664BA7">
        <w:rPr>
          <w:sz w:val="22"/>
          <w:szCs w:val="22"/>
        </w:rPr>
        <w:t>Intent</w:t>
      </w:r>
      <w:r w:rsidRPr="00664BA7">
        <w:rPr>
          <w:sz w:val="22"/>
          <w:szCs w:val="22"/>
        </w:rPr>
        <w:t>: 2019-2024:</w:t>
      </w:r>
    </w:p>
    <w:p w14:paraId="541AFF1E" w14:textId="77777777" w:rsidR="00A40BB0" w:rsidRPr="00664BA7" w:rsidRDefault="00923357" w:rsidP="005D34FC">
      <w:pPr>
        <w:pStyle w:val="HHLBodyText"/>
        <w:rPr>
          <w:i/>
          <w:sz w:val="22"/>
          <w:szCs w:val="22"/>
        </w:rPr>
      </w:pPr>
      <w:r w:rsidRPr="00664BA7">
        <w:rPr>
          <w:i/>
          <w:sz w:val="22"/>
          <w:szCs w:val="22"/>
        </w:rPr>
        <w:t xml:space="preserve">It’s important for the College to set quality standards for general practice, and this includes developing and administering programmes to improve their workplace and clinical systems for the benefit of practices and patients. </w:t>
      </w:r>
    </w:p>
    <w:p w14:paraId="3AADE256" w14:textId="77777777" w:rsidR="00A40BB0" w:rsidRPr="00664BA7" w:rsidRDefault="00923357" w:rsidP="005D34FC">
      <w:pPr>
        <w:pStyle w:val="HHLBodyText"/>
        <w:rPr>
          <w:i/>
          <w:sz w:val="22"/>
          <w:szCs w:val="22"/>
        </w:rPr>
      </w:pPr>
      <w:r w:rsidRPr="00664BA7">
        <w:rPr>
          <w:i/>
          <w:sz w:val="22"/>
          <w:szCs w:val="22"/>
        </w:rPr>
        <w:t xml:space="preserve">We’ll know we’ve achieved this if we: </w:t>
      </w:r>
    </w:p>
    <w:p w14:paraId="52AD76C5" w14:textId="1DAE4D0A" w:rsidR="00A40BB0" w:rsidRPr="00664BA7" w:rsidRDefault="00872DD4" w:rsidP="00664BA7">
      <w:pPr>
        <w:pStyle w:val="HHLBodyText"/>
        <w:numPr>
          <w:ilvl w:val="0"/>
          <w:numId w:val="30"/>
        </w:numPr>
        <w:ind w:left="567" w:hanging="567"/>
        <w:rPr>
          <w:i/>
          <w:sz w:val="22"/>
          <w:szCs w:val="22"/>
        </w:rPr>
      </w:pPr>
      <w:r w:rsidRPr="00664BA7">
        <w:rPr>
          <w:i/>
          <w:sz w:val="22"/>
          <w:szCs w:val="22"/>
        </w:rPr>
        <w:t>H</w:t>
      </w:r>
      <w:r w:rsidR="00923357" w:rsidRPr="00664BA7">
        <w:rPr>
          <w:i/>
          <w:sz w:val="22"/>
          <w:szCs w:val="22"/>
        </w:rPr>
        <w:t>ave 80 percent of practices join the CORNERSTONE</w:t>
      </w:r>
      <w:r w:rsidR="008F3839" w:rsidRPr="008F3839">
        <w:rPr>
          <w:i/>
          <w:sz w:val="22"/>
          <w:szCs w:val="22"/>
          <w:vertAlign w:val="superscript"/>
        </w:rPr>
        <w:t>®</w:t>
      </w:r>
      <w:r w:rsidR="00923357" w:rsidRPr="00664BA7">
        <w:rPr>
          <w:i/>
          <w:sz w:val="22"/>
          <w:szCs w:val="22"/>
        </w:rPr>
        <w:t xml:space="preserve"> programme and attain and maintain accreditation to the CORNERSTONE</w:t>
      </w:r>
      <w:r w:rsidR="008F3839" w:rsidRPr="008F3839">
        <w:rPr>
          <w:i/>
          <w:sz w:val="22"/>
          <w:szCs w:val="22"/>
          <w:vertAlign w:val="superscript"/>
        </w:rPr>
        <w:t>®</w:t>
      </w:r>
      <w:r w:rsidR="00923357" w:rsidRPr="00664BA7">
        <w:rPr>
          <w:i/>
          <w:sz w:val="22"/>
          <w:szCs w:val="22"/>
        </w:rPr>
        <w:t xml:space="preserve"> standard</w:t>
      </w:r>
      <w:r w:rsidRPr="00664BA7">
        <w:rPr>
          <w:i/>
          <w:sz w:val="22"/>
          <w:szCs w:val="22"/>
        </w:rPr>
        <w:t>.</w:t>
      </w:r>
      <w:r w:rsidR="00923357" w:rsidRPr="00664BA7">
        <w:rPr>
          <w:i/>
          <w:sz w:val="22"/>
          <w:szCs w:val="22"/>
        </w:rPr>
        <w:t xml:space="preserve"> </w:t>
      </w:r>
    </w:p>
    <w:p w14:paraId="09470200" w14:textId="79CE9AD9" w:rsidR="00D4324B" w:rsidRPr="00664BA7" w:rsidRDefault="00872DD4" w:rsidP="00664BA7">
      <w:pPr>
        <w:pStyle w:val="HHLBodyText"/>
        <w:numPr>
          <w:ilvl w:val="0"/>
          <w:numId w:val="30"/>
        </w:numPr>
        <w:ind w:left="567" w:hanging="567"/>
        <w:rPr>
          <w:i/>
          <w:sz w:val="22"/>
          <w:szCs w:val="22"/>
        </w:rPr>
      </w:pPr>
      <w:r w:rsidRPr="00664BA7">
        <w:rPr>
          <w:i/>
          <w:sz w:val="22"/>
          <w:szCs w:val="22"/>
        </w:rPr>
        <w:t>C</w:t>
      </w:r>
      <w:r w:rsidR="00923357" w:rsidRPr="00664BA7">
        <w:rPr>
          <w:i/>
          <w:sz w:val="22"/>
          <w:szCs w:val="22"/>
        </w:rPr>
        <w:t>onsistently receive positive feedback about the perceived value and simplicity of our quality programmes and our wrap-around support.</w:t>
      </w:r>
    </w:p>
    <w:p w14:paraId="705DAA34" w14:textId="751B8DE2" w:rsidR="00284A8B" w:rsidRDefault="006A58A6" w:rsidP="008416D6">
      <w:pPr>
        <w:pStyle w:val="HHLSubHeading"/>
        <w:ind w:left="540" w:hanging="540"/>
      </w:pPr>
      <w:bookmarkStart w:id="5" w:name="_Toc6998649"/>
      <w:r>
        <w:t>College</w:t>
      </w:r>
      <w:r w:rsidR="00761A48">
        <w:t xml:space="preserve"> </w:t>
      </w:r>
      <w:r w:rsidR="00284A8B">
        <w:t xml:space="preserve">Board </w:t>
      </w:r>
      <w:r w:rsidR="003B34B3">
        <w:t>dec</w:t>
      </w:r>
      <w:r w:rsidR="00A444CF">
        <w:t>i</w:t>
      </w:r>
      <w:r w:rsidR="003B34B3">
        <w:t>sions</w:t>
      </w:r>
      <w:bookmarkEnd w:id="5"/>
    </w:p>
    <w:p w14:paraId="67D18A7F" w14:textId="5ABD9306" w:rsidR="00F24FD1" w:rsidRPr="00664BA7" w:rsidRDefault="006C2FAA" w:rsidP="00761A48">
      <w:pPr>
        <w:pStyle w:val="HHLBodyText"/>
        <w:rPr>
          <w:sz w:val="22"/>
          <w:szCs w:val="22"/>
        </w:rPr>
      </w:pPr>
      <w:r w:rsidRPr="00664BA7">
        <w:rPr>
          <w:sz w:val="22"/>
          <w:szCs w:val="22"/>
        </w:rPr>
        <w:t>Board decisions to</w:t>
      </w:r>
      <w:r w:rsidR="00F04D2E" w:rsidRPr="00664BA7">
        <w:rPr>
          <w:sz w:val="22"/>
          <w:szCs w:val="22"/>
        </w:rPr>
        <w:t xml:space="preserve"> support change </w:t>
      </w:r>
      <w:r w:rsidR="007707DF" w:rsidRPr="00664BA7">
        <w:rPr>
          <w:sz w:val="22"/>
          <w:szCs w:val="22"/>
        </w:rPr>
        <w:t xml:space="preserve">to the </w:t>
      </w:r>
      <w:r w:rsidR="00761A48" w:rsidRPr="00664BA7">
        <w:rPr>
          <w:sz w:val="22"/>
          <w:szCs w:val="22"/>
        </w:rPr>
        <w:t>College’s quality framework are:</w:t>
      </w:r>
    </w:p>
    <w:p w14:paraId="7570833E" w14:textId="6279A26C" w:rsidR="00DE69B6" w:rsidRPr="00664BA7" w:rsidRDefault="00DE69B6" w:rsidP="00664BA7">
      <w:pPr>
        <w:pStyle w:val="HHLBodyText"/>
        <w:numPr>
          <w:ilvl w:val="0"/>
          <w:numId w:val="36"/>
        </w:numPr>
        <w:tabs>
          <w:tab w:val="left" w:pos="567"/>
        </w:tabs>
        <w:ind w:hanging="540"/>
        <w:rPr>
          <w:sz w:val="22"/>
          <w:szCs w:val="22"/>
        </w:rPr>
      </w:pPr>
      <w:r w:rsidRPr="00664BA7">
        <w:rPr>
          <w:sz w:val="22"/>
          <w:szCs w:val="22"/>
        </w:rPr>
        <w:t xml:space="preserve">To retire the current </w:t>
      </w:r>
      <w:r w:rsidR="007707DF" w:rsidRPr="00664BA7">
        <w:rPr>
          <w:sz w:val="22"/>
          <w:szCs w:val="22"/>
        </w:rPr>
        <w:t>q</w:t>
      </w:r>
      <w:r w:rsidRPr="00664BA7">
        <w:rPr>
          <w:sz w:val="22"/>
          <w:szCs w:val="22"/>
        </w:rPr>
        <w:t xml:space="preserve">uality </w:t>
      </w:r>
      <w:r w:rsidR="007707DF" w:rsidRPr="00664BA7">
        <w:rPr>
          <w:sz w:val="22"/>
          <w:szCs w:val="22"/>
        </w:rPr>
        <w:t>s</w:t>
      </w:r>
      <w:r w:rsidRPr="00664BA7">
        <w:rPr>
          <w:sz w:val="22"/>
          <w:szCs w:val="22"/>
        </w:rPr>
        <w:t xml:space="preserve">tandard – </w:t>
      </w:r>
      <w:r w:rsidRPr="00664BA7">
        <w:rPr>
          <w:i/>
          <w:sz w:val="22"/>
          <w:szCs w:val="22"/>
        </w:rPr>
        <w:t>Aiming for Excellence</w:t>
      </w:r>
      <w:r w:rsidR="001112CF" w:rsidRPr="00664BA7">
        <w:rPr>
          <w:i/>
          <w:sz w:val="22"/>
          <w:szCs w:val="22"/>
        </w:rPr>
        <w:t>; and</w:t>
      </w:r>
    </w:p>
    <w:p w14:paraId="6CBB2A56" w14:textId="3C241930" w:rsidR="00F24FD1" w:rsidRPr="00664BA7" w:rsidRDefault="006C2FAA" w:rsidP="00664BA7">
      <w:pPr>
        <w:pStyle w:val="HHLBodyText"/>
        <w:numPr>
          <w:ilvl w:val="0"/>
          <w:numId w:val="5"/>
        </w:numPr>
        <w:tabs>
          <w:tab w:val="left" w:pos="567"/>
        </w:tabs>
        <w:spacing w:after="0"/>
        <w:ind w:left="540" w:hanging="540"/>
        <w:rPr>
          <w:sz w:val="22"/>
          <w:szCs w:val="22"/>
        </w:rPr>
      </w:pPr>
      <w:r w:rsidRPr="00664BA7">
        <w:rPr>
          <w:sz w:val="22"/>
          <w:szCs w:val="22"/>
        </w:rPr>
        <w:t>To s</w:t>
      </w:r>
      <w:r w:rsidR="00F24FD1" w:rsidRPr="00664BA7">
        <w:rPr>
          <w:sz w:val="22"/>
          <w:szCs w:val="22"/>
        </w:rPr>
        <w:t>eparat</w:t>
      </w:r>
      <w:r w:rsidRPr="00664BA7">
        <w:rPr>
          <w:sz w:val="22"/>
          <w:szCs w:val="22"/>
        </w:rPr>
        <w:t>e</w:t>
      </w:r>
      <w:r w:rsidR="00F24FD1" w:rsidRPr="00664BA7">
        <w:rPr>
          <w:sz w:val="22"/>
          <w:szCs w:val="22"/>
        </w:rPr>
        <w:t xml:space="preserve"> the Foundation and </w:t>
      </w:r>
      <w:r w:rsidR="002A4CF4" w:rsidRPr="00664BA7">
        <w:rPr>
          <w:sz w:val="22"/>
          <w:szCs w:val="22"/>
        </w:rPr>
        <w:t>CORNERSTONE</w:t>
      </w:r>
      <w:r w:rsidR="008F3839" w:rsidRPr="008F3839">
        <w:rPr>
          <w:sz w:val="22"/>
          <w:szCs w:val="22"/>
          <w:vertAlign w:val="superscript"/>
        </w:rPr>
        <w:t>®</w:t>
      </w:r>
      <w:r w:rsidR="00F24FD1" w:rsidRPr="00664BA7">
        <w:rPr>
          <w:sz w:val="22"/>
          <w:szCs w:val="22"/>
        </w:rPr>
        <w:t xml:space="preserve"> standards and programmes</w:t>
      </w:r>
      <w:r w:rsidR="0026630C" w:rsidRPr="00664BA7">
        <w:rPr>
          <w:sz w:val="22"/>
          <w:szCs w:val="22"/>
        </w:rPr>
        <w:t>;</w:t>
      </w:r>
      <w:r w:rsidR="001112CF" w:rsidRPr="00664BA7">
        <w:rPr>
          <w:sz w:val="22"/>
          <w:szCs w:val="22"/>
        </w:rPr>
        <w:t xml:space="preserve"> and</w:t>
      </w:r>
    </w:p>
    <w:p w14:paraId="63541D47" w14:textId="6D2ABF5D" w:rsidR="00F24FD1" w:rsidRPr="00664BA7" w:rsidRDefault="006C2FAA" w:rsidP="00664BA7">
      <w:pPr>
        <w:pStyle w:val="HHLBodyText"/>
        <w:numPr>
          <w:ilvl w:val="0"/>
          <w:numId w:val="5"/>
        </w:numPr>
        <w:tabs>
          <w:tab w:val="left" w:pos="567"/>
        </w:tabs>
        <w:spacing w:after="0"/>
        <w:ind w:left="540" w:hanging="540"/>
        <w:rPr>
          <w:sz w:val="22"/>
          <w:szCs w:val="22"/>
        </w:rPr>
      </w:pPr>
      <w:r w:rsidRPr="00664BA7">
        <w:rPr>
          <w:sz w:val="22"/>
          <w:szCs w:val="22"/>
        </w:rPr>
        <w:lastRenderedPageBreak/>
        <w:t>To s</w:t>
      </w:r>
      <w:r w:rsidR="00F24FD1" w:rsidRPr="00664BA7">
        <w:rPr>
          <w:sz w:val="22"/>
          <w:szCs w:val="22"/>
        </w:rPr>
        <w:t>tandardis</w:t>
      </w:r>
      <w:r w:rsidRPr="00664BA7">
        <w:rPr>
          <w:sz w:val="22"/>
          <w:szCs w:val="22"/>
        </w:rPr>
        <w:t>e</w:t>
      </w:r>
      <w:r w:rsidR="00F24FD1" w:rsidRPr="00664BA7">
        <w:rPr>
          <w:sz w:val="22"/>
          <w:szCs w:val="22"/>
        </w:rPr>
        <w:t xml:space="preserve"> the Foundation certification and </w:t>
      </w:r>
      <w:r w:rsidR="002A4CF4" w:rsidRPr="00664BA7">
        <w:rPr>
          <w:sz w:val="22"/>
          <w:szCs w:val="22"/>
        </w:rPr>
        <w:t>CORNERSTONE</w:t>
      </w:r>
      <w:r w:rsidR="008F3839" w:rsidRPr="008F3839">
        <w:rPr>
          <w:sz w:val="22"/>
          <w:szCs w:val="22"/>
          <w:vertAlign w:val="superscript"/>
        </w:rPr>
        <w:t>®</w:t>
      </w:r>
      <w:r w:rsidR="00F24FD1" w:rsidRPr="00664BA7">
        <w:rPr>
          <w:sz w:val="22"/>
          <w:szCs w:val="22"/>
        </w:rPr>
        <w:t xml:space="preserve"> accreditation to four years</w:t>
      </w:r>
      <w:r w:rsidR="0026630C" w:rsidRPr="00664BA7">
        <w:rPr>
          <w:sz w:val="22"/>
          <w:szCs w:val="22"/>
        </w:rPr>
        <w:t>;</w:t>
      </w:r>
      <w:r w:rsidR="001112CF" w:rsidRPr="00664BA7">
        <w:rPr>
          <w:sz w:val="22"/>
          <w:szCs w:val="22"/>
        </w:rPr>
        <w:t xml:space="preserve"> and</w:t>
      </w:r>
    </w:p>
    <w:p w14:paraId="2CF40655" w14:textId="38D7D35E" w:rsidR="00F24FD1" w:rsidRPr="00664BA7" w:rsidRDefault="006C2FAA" w:rsidP="00664BA7">
      <w:pPr>
        <w:pStyle w:val="HHLBodyText"/>
        <w:numPr>
          <w:ilvl w:val="0"/>
          <w:numId w:val="5"/>
        </w:numPr>
        <w:tabs>
          <w:tab w:val="left" w:pos="567"/>
        </w:tabs>
        <w:spacing w:after="0"/>
        <w:ind w:left="540" w:hanging="540"/>
        <w:rPr>
          <w:sz w:val="22"/>
          <w:szCs w:val="22"/>
        </w:rPr>
      </w:pPr>
      <w:r w:rsidRPr="00664BA7">
        <w:rPr>
          <w:sz w:val="22"/>
          <w:szCs w:val="22"/>
        </w:rPr>
        <w:t>To r</w:t>
      </w:r>
      <w:r w:rsidR="00F24FD1" w:rsidRPr="00664BA7">
        <w:rPr>
          <w:sz w:val="22"/>
          <w:szCs w:val="22"/>
        </w:rPr>
        <w:t xml:space="preserve">etire the </w:t>
      </w:r>
      <w:r w:rsidR="002A4CF4" w:rsidRPr="00664BA7">
        <w:rPr>
          <w:sz w:val="22"/>
          <w:szCs w:val="22"/>
        </w:rPr>
        <w:t>CORNERSTONE</w:t>
      </w:r>
      <w:r w:rsidR="008F3839" w:rsidRPr="008F3839">
        <w:rPr>
          <w:sz w:val="22"/>
          <w:szCs w:val="22"/>
          <w:vertAlign w:val="superscript"/>
        </w:rPr>
        <w:t>®</w:t>
      </w:r>
      <w:r w:rsidR="00F24FD1" w:rsidRPr="00664BA7">
        <w:rPr>
          <w:sz w:val="22"/>
          <w:szCs w:val="22"/>
        </w:rPr>
        <w:t xml:space="preserve"> annual programme</w:t>
      </w:r>
      <w:r w:rsidR="0026630C" w:rsidRPr="00664BA7">
        <w:rPr>
          <w:sz w:val="22"/>
          <w:szCs w:val="22"/>
        </w:rPr>
        <w:t>;</w:t>
      </w:r>
      <w:r w:rsidR="001112CF" w:rsidRPr="00664BA7">
        <w:rPr>
          <w:sz w:val="22"/>
          <w:szCs w:val="22"/>
        </w:rPr>
        <w:t xml:space="preserve"> and</w:t>
      </w:r>
    </w:p>
    <w:p w14:paraId="28A3C70B" w14:textId="5624B6F0" w:rsidR="00F24FD1" w:rsidRPr="00664BA7" w:rsidRDefault="009E4E22" w:rsidP="00664BA7">
      <w:pPr>
        <w:pStyle w:val="HHLBodyText"/>
        <w:numPr>
          <w:ilvl w:val="0"/>
          <w:numId w:val="5"/>
        </w:numPr>
        <w:tabs>
          <w:tab w:val="left" w:pos="567"/>
        </w:tabs>
        <w:spacing w:after="0"/>
        <w:ind w:left="540" w:hanging="540"/>
        <w:rPr>
          <w:sz w:val="22"/>
          <w:szCs w:val="22"/>
        </w:rPr>
      </w:pPr>
      <w:r w:rsidRPr="00664BA7">
        <w:rPr>
          <w:sz w:val="22"/>
          <w:szCs w:val="22"/>
        </w:rPr>
        <w:t>To</w:t>
      </w:r>
      <w:r w:rsidR="00F24FD1" w:rsidRPr="00664BA7">
        <w:rPr>
          <w:sz w:val="22"/>
          <w:szCs w:val="22"/>
        </w:rPr>
        <w:t xml:space="preserve"> introduc</w:t>
      </w:r>
      <w:r w:rsidR="005579D2" w:rsidRPr="00664BA7">
        <w:rPr>
          <w:sz w:val="22"/>
          <w:szCs w:val="22"/>
        </w:rPr>
        <w:t>e</w:t>
      </w:r>
      <w:r w:rsidR="00F24FD1" w:rsidRPr="00664BA7">
        <w:rPr>
          <w:sz w:val="22"/>
          <w:szCs w:val="22"/>
        </w:rPr>
        <w:t xml:space="preserve"> an online, summative mid-cycle review for the Foundation and </w:t>
      </w:r>
      <w:r w:rsidR="002A4CF4" w:rsidRPr="00664BA7">
        <w:rPr>
          <w:sz w:val="22"/>
          <w:szCs w:val="22"/>
        </w:rPr>
        <w:t>CORNERSTONE</w:t>
      </w:r>
      <w:r w:rsidR="008F3839" w:rsidRPr="008F3839">
        <w:rPr>
          <w:sz w:val="22"/>
          <w:szCs w:val="22"/>
          <w:vertAlign w:val="superscript"/>
        </w:rPr>
        <w:t>®</w:t>
      </w:r>
      <w:r w:rsidR="00F24FD1" w:rsidRPr="00664BA7">
        <w:rPr>
          <w:sz w:val="22"/>
          <w:szCs w:val="22"/>
        </w:rPr>
        <w:t xml:space="preserve"> programmes</w:t>
      </w:r>
      <w:r w:rsidR="0026630C" w:rsidRPr="00664BA7">
        <w:rPr>
          <w:sz w:val="22"/>
          <w:szCs w:val="22"/>
        </w:rPr>
        <w:t>;</w:t>
      </w:r>
      <w:r w:rsidR="00F24FD1" w:rsidRPr="00664BA7">
        <w:rPr>
          <w:sz w:val="22"/>
          <w:szCs w:val="22"/>
        </w:rPr>
        <w:t xml:space="preserve"> </w:t>
      </w:r>
    </w:p>
    <w:p w14:paraId="2E17B482" w14:textId="4425B883" w:rsidR="00F24FD1" w:rsidRPr="00664BA7" w:rsidRDefault="006C2FAA" w:rsidP="00664BA7">
      <w:pPr>
        <w:pStyle w:val="HHLBodyText"/>
        <w:numPr>
          <w:ilvl w:val="0"/>
          <w:numId w:val="5"/>
        </w:numPr>
        <w:tabs>
          <w:tab w:val="left" w:pos="567"/>
        </w:tabs>
        <w:spacing w:after="0"/>
        <w:ind w:left="540" w:hanging="540"/>
        <w:rPr>
          <w:sz w:val="22"/>
          <w:szCs w:val="22"/>
        </w:rPr>
      </w:pPr>
      <w:r w:rsidRPr="00664BA7">
        <w:rPr>
          <w:sz w:val="22"/>
          <w:szCs w:val="22"/>
        </w:rPr>
        <w:t>T</w:t>
      </w:r>
      <w:r w:rsidR="00F24FD1" w:rsidRPr="00664BA7">
        <w:rPr>
          <w:sz w:val="22"/>
          <w:szCs w:val="22"/>
        </w:rPr>
        <w:t xml:space="preserve">hat </w:t>
      </w:r>
      <w:r w:rsidR="002A4CF4" w:rsidRPr="00664BA7">
        <w:rPr>
          <w:sz w:val="22"/>
          <w:szCs w:val="22"/>
        </w:rPr>
        <w:t>CORNERSTONE</w:t>
      </w:r>
      <w:r w:rsidR="008F3839" w:rsidRPr="008F3839">
        <w:rPr>
          <w:sz w:val="22"/>
          <w:szCs w:val="22"/>
          <w:vertAlign w:val="superscript"/>
        </w:rPr>
        <w:t>®</w:t>
      </w:r>
      <w:r w:rsidR="00F24FD1" w:rsidRPr="00664BA7">
        <w:rPr>
          <w:sz w:val="22"/>
          <w:szCs w:val="22"/>
        </w:rPr>
        <w:t xml:space="preserve"> comprise a combination of mandatory and optional modules</w:t>
      </w:r>
      <w:r w:rsidR="0026630C" w:rsidRPr="00664BA7">
        <w:rPr>
          <w:sz w:val="22"/>
          <w:szCs w:val="22"/>
        </w:rPr>
        <w:t>; and</w:t>
      </w:r>
      <w:r w:rsidR="00F24FD1" w:rsidRPr="00664BA7">
        <w:rPr>
          <w:sz w:val="22"/>
          <w:szCs w:val="22"/>
        </w:rPr>
        <w:t xml:space="preserve"> </w:t>
      </w:r>
    </w:p>
    <w:p w14:paraId="001B27A3" w14:textId="21416A17" w:rsidR="006C2FAA" w:rsidRPr="00664BA7" w:rsidRDefault="006C2FAA" w:rsidP="00664BA7">
      <w:pPr>
        <w:pStyle w:val="HHLBodyText"/>
        <w:numPr>
          <w:ilvl w:val="0"/>
          <w:numId w:val="5"/>
        </w:numPr>
        <w:tabs>
          <w:tab w:val="left" w:pos="567"/>
        </w:tabs>
        <w:spacing w:after="0"/>
        <w:ind w:left="540" w:hanging="540"/>
        <w:rPr>
          <w:sz w:val="22"/>
          <w:szCs w:val="22"/>
        </w:rPr>
      </w:pPr>
      <w:r w:rsidRPr="00664BA7">
        <w:rPr>
          <w:sz w:val="22"/>
          <w:szCs w:val="22"/>
        </w:rPr>
        <w:t xml:space="preserve">To </w:t>
      </w:r>
      <w:r w:rsidR="00F24FD1" w:rsidRPr="00664BA7">
        <w:rPr>
          <w:sz w:val="22"/>
          <w:szCs w:val="22"/>
        </w:rPr>
        <w:t xml:space="preserve">trial the simplified programme with a range of practices for six months, so we can test that the new programme is simpler in real life and not just simpler in theory, </w:t>
      </w:r>
      <w:r w:rsidR="002D3694" w:rsidRPr="00664BA7">
        <w:rPr>
          <w:sz w:val="22"/>
          <w:szCs w:val="22"/>
        </w:rPr>
        <w:t>and</w:t>
      </w:r>
      <w:r w:rsidR="00F24FD1" w:rsidRPr="00664BA7">
        <w:rPr>
          <w:sz w:val="22"/>
          <w:szCs w:val="22"/>
        </w:rPr>
        <w:t xml:space="preserve"> to test what effect the </w:t>
      </w:r>
      <w:r w:rsidR="002D3694" w:rsidRPr="00664BA7">
        <w:rPr>
          <w:sz w:val="22"/>
          <w:szCs w:val="22"/>
        </w:rPr>
        <w:t>programmes</w:t>
      </w:r>
      <w:r w:rsidR="00F24FD1" w:rsidRPr="00664BA7">
        <w:rPr>
          <w:sz w:val="22"/>
          <w:szCs w:val="22"/>
        </w:rPr>
        <w:t xml:space="preserve"> changes might have on how the College runs the programme. </w:t>
      </w:r>
    </w:p>
    <w:p w14:paraId="4BB10B50" w14:textId="5762174B" w:rsidR="00515D55" w:rsidRDefault="002D3694" w:rsidP="00CD2C83">
      <w:pPr>
        <w:pStyle w:val="HHLSubHeading"/>
        <w:ind w:left="540" w:hanging="540"/>
      </w:pPr>
      <w:bookmarkStart w:id="6" w:name="_Toc6998650"/>
      <w:r>
        <w:t>Modular</w:t>
      </w:r>
      <w:r w:rsidR="00CC0AD0">
        <w:t xml:space="preserve"> d</w:t>
      </w:r>
      <w:r w:rsidR="00413307">
        <w:t>esign of new quality framework</w:t>
      </w:r>
      <w:bookmarkEnd w:id="6"/>
    </w:p>
    <w:p w14:paraId="0859D8FF" w14:textId="1ED9C738" w:rsidR="00354037" w:rsidRPr="00664BA7" w:rsidRDefault="00CC0AD0" w:rsidP="00B56F59">
      <w:pPr>
        <w:pStyle w:val="HHLBodyText"/>
        <w:spacing w:after="240"/>
        <w:rPr>
          <w:sz w:val="22"/>
          <w:szCs w:val="22"/>
        </w:rPr>
      </w:pPr>
      <w:r w:rsidRPr="00664BA7">
        <w:rPr>
          <w:sz w:val="22"/>
          <w:szCs w:val="22"/>
        </w:rPr>
        <w:t>The new quality framework will be modular.</w:t>
      </w:r>
    </w:p>
    <w:p w14:paraId="4113CADE" w14:textId="2B486298" w:rsidR="00CC0AD0" w:rsidRDefault="007C7652" w:rsidP="00CC0AD0">
      <w:pPr>
        <w:pStyle w:val="HHLBodyText"/>
        <w:jc w:val="center"/>
      </w:pPr>
      <w:r>
        <w:rPr>
          <w:noProof/>
        </w:rPr>
        <w:drawing>
          <wp:inline distT="0" distB="0" distL="0" distR="0" wp14:anchorId="17FC0A68" wp14:editId="344A8E78">
            <wp:extent cx="5810885" cy="35820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3582035"/>
                    </a:xfrm>
                    <a:prstGeom prst="rect">
                      <a:avLst/>
                    </a:prstGeom>
                    <a:noFill/>
                  </pic:spPr>
                </pic:pic>
              </a:graphicData>
            </a:graphic>
          </wp:inline>
        </w:drawing>
      </w:r>
    </w:p>
    <w:p w14:paraId="1EEEDF46" w14:textId="6D563576" w:rsidR="00CC0AD0" w:rsidRPr="00664BA7" w:rsidRDefault="00CC0AD0" w:rsidP="00B56F59">
      <w:pPr>
        <w:pStyle w:val="HHLBodyText"/>
        <w:spacing w:before="240"/>
        <w:rPr>
          <w:sz w:val="22"/>
          <w:szCs w:val="22"/>
        </w:rPr>
      </w:pPr>
      <w:r w:rsidRPr="00664BA7">
        <w:rPr>
          <w:sz w:val="22"/>
          <w:szCs w:val="22"/>
        </w:rPr>
        <w:t>To achieve CORNERSTONE</w:t>
      </w:r>
      <w:r w:rsidR="008F3839" w:rsidRPr="008F3839">
        <w:rPr>
          <w:sz w:val="22"/>
          <w:szCs w:val="22"/>
          <w:vertAlign w:val="superscript"/>
        </w:rPr>
        <w:t>®</w:t>
      </w:r>
      <w:r w:rsidRPr="00664BA7">
        <w:rPr>
          <w:sz w:val="22"/>
          <w:szCs w:val="22"/>
        </w:rPr>
        <w:t xml:space="preserve"> accreditation, practices will need to be accredited against the Foundation Standard</w:t>
      </w:r>
      <w:r w:rsidR="006F6394" w:rsidRPr="00664BA7">
        <w:rPr>
          <w:sz w:val="22"/>
          <w:szCs w:val="22"/>
        </w:rPr>
        <w:t xml:space="preserve"> module</w:t>
      </w:r>
      <w:r w:rsidRPr="00664BA7">
        <w:rPr>
          <w:sz w:val="22"/>
          <w:szCs w:val="22"/>
        </w:rPr>
        <w:t>, the Continuous Quality Improvement (CQI) module and one other module of their choice. Initially, practices will have three modules to choose from:</w:t>
      </w:r>
    </w:p>
    <w:p w14:paraId="4CF8443D" w14:textId="77777777" w:rsidR="00CC0AD0" w:rsidRPr="00664BA7" w:rsidRDefault="00CC0AD0" w:rsidP="00664BA7">
      <w:pPr>
        <w:pStyle w:val="HHLBodyText"/>
        <w:numPr>
          <w:ilvl w:val="0"/>
          <w:numId w:val="5"/>
        </w:numPr>
        <w:spacing w:after="0"/>
        <w:ind w:left="567" w:hanging="567"/>
        <w:rPr>
          <w:sz w:val="22"/>
          <w:szCs w:val="22"/>
        </w:rPr>
      </w:pPr>
      <w:r w:rsidRPr="00664BA7">
        <w:rPr>
          <w:sz w:val="22"/>
          <w:szCs w:val="22"/>
        </w:rPr>
        <w:t>General practice</w:t>
      </w:r>
    </w:p>
    <w:p w14:paraId="6B5EC0C2" w14:textId="77777777" w:rsidR="00CC0AD0" w:rsidRPr="00664BA7" w:rsidRDefault="00CC0AD0" w:rsidP="00664BA7">
      <w:pPr>
        <w:pStyle w:val="HHLBodyText"/>
        <w:numPr>
          <w:ilvl w:val="0"/>
          <w:numId w:val="5"/>
        </w:numPr>
        <w:spacing w:after="0"/>
        <w:ind w:left="567" w:hanging="567"/>
        <w:rPr>
          <w:sz w:val="22"/>
          <w:szCs w:val="22"/>
        </w:rPr>
      </w:pPr>
      <w:r w:rsidRPr="00664BA7">
        <w:rPr>
          <w:sz w:val="22"/>
          <w:szCs w:val="22"/>
        </w:rPr>
        <w:t>Teaching practice</w:t>
      </w:r>
    </w:p>
    <w:p w14:paraId="2D15C232" w14:textId="77777777" w:rsidR="00CC0AD0" w:rsidRPr="00664BA7" w:rsidRDefault="00CC0AD0" w:rsidP="00664BA7">
      <w:pPr>
        <w:pStyle w:val="HHLBodyText"/>
        <w:numPr>
          <w:ilvl w:val="0"/>
          <w:numId w:val="5"/>
        </w:numPr>
        <w:spacing w:after="0"/>
        <w:ind w:left="567" w:hanging="567"/>
        <w:rPr>
          <w:sz w:val="22"/>
          <w:szCs w:val="22"/>
        </w:rPr>
      </w:pPr>
      <w:r w:rsidRPr="00664BA7">
        <w:rPr>
          <w:sz w:val="22"/>
          <w:szCs w:val="22"/>
        </w:rPr>
        <w:t>Minor surgery</w:t>
      </w:r>
    </w:p>
    <w:p w14:paraId="66CB90E5" w14:textId="19278D55" w:rsidR="00515D55" w:rsidRPr="00664BA7" w:rsidRDefault="00CC0AD0" w:rsidP="00707E6E">
      <w:pPr>
        <w:pStyle w:val="HHLBodyText"/>
        <w:rPr>
          <w:sz w:val="22"/>
          <w:szCs w:val="22"/>
        </w:rPr>
      </w:pPr>
      <w:r w:rsidRPr="00664BA7">
        <w:rPr>
          <w:sz w:val="22"/>
          <w:szCs w:val="22"/>
        </w:rPr>
        <w:t>Additional modules will be developed overtime</w:t>
      </w:r>
      <w:r w:rsidR="00174362" w:rsidRPr="00664BA7">
        <w:rPr>
          <w:sz w:val="22"/>
          <w:szCs w:val="22"/>
        </w:rPr>
        <w:t>.</w:t>
      </w:r>
    </w:p>
    <w:p w14:paraId="0CF86092" w14:textId="01DDE836" w:rsidR="00B952EB" w:rsidRDefault="00B952EB">
      <w:pPr>
        <w:spacing w:after="0"/>
        <w:rPr>
          <w:color w:val="auto"/>
          <w:sz w:val="24"/>
        </w:rPr>
      </w:pPr>
      <w:r>
        <w:br w:type="page"/>
      </w:r>
    </w:p>
    <w:p w14:paraId="56575DF1" w14:textId="05A8764D" w:rsidR="00805102" w:rsidRDefault="00F56319" w:rsidP="00664BA7">
      <w:pPr>
        <w:pStyle w:val="HHLMainHeading"/>
        <w:tabs>
          <w:tab w:val="left" w:pos="450"/>
        </w:tabs>
        <w:ind w:left="426" w:hanging="426"/>
      </w:pPr>
      <w:bookmarkStart w:id="7" w:name="_Toc6998651"/>
      <w:r>
        <w:lastRenderedPageBreak/>
        <w:t xml:space="preserve">How to use the Foundation </w:t>
      </w:r>
      <w:r w:rsidR="00477FB4">
        <w:t>S</w:t>
      </w:r>
      <w:r>
        <w:t>tandard indicators and criteria</w:t>
      </w:r>
      <w:bookmarkEnd w:id="7"/>
      <w:r>
        <w:t xml:space="preserve"> </w:t>
      </w:r>
      <w:bookmarkStart w:id="8" w:name="_Toc208387759"/>
      <w:bookmarkStart w:id="9" w:name="_Toc253740618"/>
      <w:bookmarkStart w:id="10" w:name="_Toc499901761"/>
      <w:bookmarkStart w:id="11" w:name="_Toc505863319"/>
    </w:p>
    <w:p w14:paraId="6850ADEB" w14:textId="71766253" w:rsidR="00F56319" w:rsidRPr="00664BA7" w:rsidRDefault="00F56319" w:rsidP="00F56319">
      <w:pPr>
        <w:pStyle w:val="HHLBodyText"/>
        <w:rPr>
          <w:sz w:val="22"/>
          <w:szCs w:val="22"/>
        </w:rPr>
      </w:pPr>
      <w:r w:rsidRPr="00664BA7">
        <w:rPr>
          <w:sz w:val="22"/>
          <w:szCs w:val="22"/>
        </w:rPr>
        <w:t xml:space="preserve">The Foundation Standard comprises </w:t>
      </w:r>
      <w:r w:rsidR="00BA0FB4" w:rsidRPr="00664BA7">
        <w:rPr>
          <w:sz w:val="22"/>
          <w:szCs w:val="22"/>
        </w:rPr>
        <w:t xml:space="preserve">28 </w:t>
      </w:r>
      <w:r w:rsidR="00903928" w:rsidRPr="00664BA7">
        <w:rPr>
          <w:sz w:val="22"/>
          <w:szCs w:val="22"/>
        </w:rPr>
        <w:t>i</w:t>
      </w:r>
      <w:r w:rsidRPr="00664BA7">
        <w:rPr>
          <w:sz w:val="22"/>
          <w:szCs w:val="22"/>
        </w:rPr>
        <w:t xml:space="preserve">ndicators. </w:t>
      </w:r>
      <w:r w:rsidR="00B463FA" w:rsidRPr="00664BA7">
        <w:rPr>
          <w:sz w:val="22"/>
          <w:szCs w:val="22"/>
        </w:rPr>
        <w:t xml:space="preserve"> All are compulsory.</w:t>
      </w:r>
    </w:p>
    <w:p w14:paraId="16A23F37" w14:textId="37FB63AB" w:rsidR="00F56319" w:rsidRPr="00664BA7" w:rsidRDefault="00F56319" w:rsidP="00F56319">
      <w:pPr>
        <w:pStyle w:val="HHLBodyText"/>
        <w:rPr>
          <w:sz w:val="22"/>
          <w:szCs w:val="22"/>
        </w:rPr>
      </w:pPr>
      <w:r w:rsidRPr="00664BA7">
        <w:rPr>
          <w:sz w:val="22"/>
          <w:szCs w:val="22"/>
        </w:rPr>
        <w:t>Each indicator describe</w:t>
      </w:r>
      <w:r w:rsidR="00DD70C4" w:rsidRPr="00664BA7">
        <w:rPr>
          <w:sz w:val="22"/>
          <w:szCs w:val="22"/>
        </w:rPr>
        <w:t>s</w:t>
      </w:r>
      <w:r w:rsidRPr="00664BA7">
        <w:rPr>
          <w:sz w:val="22"/>
          <w:szCs w:val="22"/>
        </w:rPr>
        <w:t xml:space="preserve"> a high-level statement of performance expected by a practice to meet the requirements of th</w:t>
      </w:r>
      <w:r w:rsidR="00DD70C4" w:rsidRPr="00664BA7">
        <w:rPr>
          <w:sz w:val="22"/>
          <w:szCs w:val="22"/>
        </w:rPr>
        <w:t>e</w:t>
      </w:r>
      <w:r w:rsidRPr="00664BA7">
        <w:rPr>
          <w:sz w:val="22"/>
          <w:szCs w:val="22"/>
        </w:rPr>
        <w:t xml:space="preserve"> </w:t>
      </w:r>
      <w:r w:rsidR="00DD70C4" w:rsidRPr="00664BA7">
        <w:rPr>
          <w:sz w:val="22"/>
          <w:szCs w:val="22"/>
        </w:rPr>
        <w:t>Foundation s</w:t>
      </w:r>
      <w:r w:rsidRPr="00664BA7">
        <w:rPr>
          <w:sz w:val="22"/>
          <w:szCs w:val="22"/>
        </w:rPr>
        <w:t xml:space="preserve">tandard. </w:t>
      </w:r>
      <w:r w:rsidR="00DD70C4" w:rsidRPr="00664BA7">
        <w:rPr>
          <w:sz w:val="22"/>
          <w:szCs w:val="22"/>
        </w:rPr>
        <w:t xml:space="preserve">Each indicator has criteria.  </w:t>
      </w:r>
      <w:r w:rsidRPr="00664BA7">
        <w:rPr>
          <w:sz w:val="22"/>
          <w:szCs w:val="22"/>
        </w:rPr>
        <w:t>Criteria define the specific requirements that must be met to satisfy the indicator. Criteria are discrete, measurable and explicit.</w:t>
      </w:r>
    </w:p>
    <w:p w14:paraId="21ED6389" w14:textId="60CFA706" w:rsidR="00F56319" w:rsidRPr="00664BA7" w:rsidRDefault="00F56319" w:rsidP="00F56319">
      <w:pPr>
        <w:pStyle w:val="HHLBodyText"/>
        <w:rPr>
          <w:sz w:val="22"/>
          <w:szCs w:val="22"/>
        </w:rPr>
      </w:pPr>
      <w:r w:rsidRPr="00664BA7">
        <w:rPr>
          <w:sz w:val="22"/>
          <w:szCs w:val="22"/>
        </w:rPr>
        <w:t xml:space="preserve">Criteria are listed in the left-hand column under the heading of the indicator. The right-hand column describes evidence that can be used to </w:t>
      </w:r>
      <w:r w:rsidR="00903928" w:rsidRPr="00664BA7">
        <w:rPr>
          <w:sz w:val="22"/>
          <w:szCs w:val="22"/>
        </w:rPr>
        <w:t xml:space="preserve">demonstrate the practice </w:t>
      </w:r>
      <w:r w:rsidRPr="00664BA7">
        <w:rPr>
          <w:sz w:val="22"/>
          <w:szCs w:val="22"/>
        </w:rPr>
        <w:t>meet</w:t>
      </w:r>
      <w:r w:rsidR="00903928" w:rsidRPr="00664BA7">
        <w:rPr>
          <w:sz w:val="22"/>
          <w:szCs w:val="22"/>
        </w:rPr>
        <w:t>s</w:t>
      </w:r>
      <w:r w:rsidRPr="00664BA7">
        <w:rPr>
          <w:sz w:val="22"/>
          <w:szCs w:val="22"/>
        </w:rPr>
        <w:t xml:space="preserve"> the requirements of the criteria </w:t>
      </w:r>
      <w:r w:rsidR="00DD70C4" w:rsidRPr="00664BA7">
        <w:rPr>
          <w:sz w:val="22"/>
          <w:szCs w:val="22"/>
        </w:rPr>
        <w:t>and states</w:t>
      </w:r>
      <w:r w:rsidRPr="00664BA7">
        <w:rPr>
          <w:sz w:val="22"/>
          <w:szCs w:val="22"/>
        </w:rPr>
        <w:t xml:space="preserve"> how the criteria </w:t>
      </w:r>
      <w:r w:rsidR="00DD70C4" w:rsidRPr="00664BA7">
        <w:rPr>
          <w:sz w:val="22"/>
          <w:szCs w:val="22"/>
        </w:rPr>
        <w:t>can</w:t>
      </w:r>
      <w:r w:rsidRPr="00664BA7">
        <w:rPr>
          <w:sz w:val="22"/>
          <w:szCs w:val="22"/>
        </w:rPr>
        <w:t xml:space="preserve"> be assessed. </w:t>
      </w:r>
    </w:p>
    <w:p w14:paraId="3A163ABD" w14:textId="47DB7666" w:rsidR="00F56319" w:rsidRPr="00664BA7" w:rsidRDefault="00F56319" w:rsidP="00F56319">
      <w:pPr>
        <w:pStyle w:val="HHLBodyText"/>
        <w:rPr>
          <w:sz w:val="22"/>
          <w:szCs w:val="22"/>
        </w:rPr>
      </w:pPr>
      <w:r w:rsidRPr="00664BA7">
        <w:rPr>
          <w:sz w:val="22"/>
          <w:szCs w:val="22"/>
        </w:rPr>
        <w:t>Guidance notes provide information about the indicator.</w:t>
      </w:r>
    </w:p>
    <w:p w14:paraId="6EE21A4C" w14:textId="77777777" w:rsidR="00B05F5A" w:rsidRPr="00664BA7" w:rsidRDefault="00B05F5A" w:rsidP="00F56319">
      <w:pPr>
        <w:pStyle w:val="HHLBodyText"/>
        <w:rPr>
          <w:sz w:val="22"/>
          <w:szCs w:val="22"/>
        </w:rPr>
      </w:pPr>
      <w:r w:rsidRPr="00664BA7">
        <w:rPr>
          <w:sz w:val="22"/>
          <w:szCs w:val="22"/>
        </w:rPr>
        <w:t xml:space="preserve">Some indicators require the practice to undertake training to ensure that all the general practice team are familiar with legislative or professional standards. Where training is required, the College would expect the practice to consider (as appropriate): </w:t>
      </w:r>
    </w:p>
    <w:p w14:paraId="744FDFDC" w14:textId="7529A6D8" w:rsidR="00B05F5A" w:rsidRPr="00664BA7" w:rsidRDefault="00B05F5A" w:rsidP="006D11A9">
      <w:pPr>
        <w:pStyle w:val="HHLBodyText"/>
        <w:numPr>
          <w:ilvl w:val="0"/>
          <w:numId w:val="5"/>
        </w:numPr>
        <w:spacing w:after="0"/>
        <w:ind w:left="567" w:hanging="567"/>
        <w:rPr>
          <w:sz w:val="22"/>
          <w:szCs w:val="22"/>
        </w:rPr>
      </w:pPr>
      <w:r w:rsidRPr="00664BA7">
        <w:rPr>
          <w:sz w:val="22"/>
          <w:szCs w:val="22"/>
        </w:rPr>
        <w:t xml:space="preserve">Identification of all staff who require training </w:t>
      </w:r>
    </w:p>
    <w:p w14:paraId="75D47010" w14:textId="59F2A088" w:rsidR="00B05F5A" w:rsidRPr="00664BA7" w:rsidRDefault="00B05F5A" w:rsidP="006D11A9">
      <w:pPr>
        <w:pStyle w:val="HHLBodyText"/>
        <w:numPr>
          <w:ilvl w:val="0"/>
          <w:numId w:val="5"/>
        </w:numPr>
        <w:spacing w:after="0"/>
        <w:ind w:left="567" w:hanging="567"/>
        <w:rPr>
          <w:sz w:val="22"/>
          <w:szCs w:val="22"/>
        </w:rPr>
      </w:pPr>
      <w:r w:rsidRPr="00664BA7">
        <w:rPr>
          <w:sz w:val="22"/>
          <w:szCs w:val="22"/>
        </w:rPr>
        <w:t xml:space="preserve">New staff that may require training </w:t>
      </w:r>
    </w:p>
    <w:p w14:paraId="223A154E" w14:textId="4C05692E" w:rsidR="00B05F5A" w:rsidRPr="00664BA7" w:rsidRDefault="00B05F5A" w:rsidP="006D11A9">
      <w:pPr>
        <w:pStyle w:val="HHLBodyText"/>
        <w:numPr>
          <w:ilvl w:val="0"/>
          <w:numId w:val="5"/>
        </w:numPr>
        <w:spacing w:after="0"/>
        <w:ind w:left="567" w:hanging="567"/>
        <w:rPr>
          <w:sz w:val="22"/>
          <w:szCs w:val="22"/>
        </w:rPr>
      </w:pPr>
      <w:r w:rsidRPr="00664BA7">
        <w:rPr>
          <w:sz w:val="22"/>
          <w:szCs w:val="22"/>
        </w:rPr>
        <w:t xml:space="preserve">Retraining staff when there are changes made to standards or legislation </w:t>
      </w:r>
    </w:p>
    <w:p w14:paraId="0791E12B" w14:textId="27038402" w:rsidR="00F56319" w:rsidRPr="00664BA7" w:rsidRDefault="00B05F5A" w:rsidP="00F56319">
      <w:pPr>
        <w:pStyle w:val="HHLBodyText"/>
        <w:rPr>
          <w:sz w:val="22"/>
          <w:szCs w:val="22"/>
        </w:rPr>
      </w:pPr>
      <w:r w:rsidRPr="00664BA7">
        <w:rPr>
          <w:sz w:val="22"/>
          <w:szCs w:val="22"/>
        </w:rPr>
        <w:t xml:space="preserve">These guidance notes do include </w:t>
      </w:r>
      <w:r w:rsidR="004129DF" w:rsidRPr="00664BA7">
        <w:rPr>
          <w:sz w:val="22"/>
          <w:szCs w:val="22"/>
        </w:rPr>
        <w:t>some</w:t>
      </w:r>
      <w:r w:rsidRPr="00664BA7">
        <w:rPr>
          <w:sz w:val="22"/>
          <w:szCs w:val="22"/>
        </w:rPr>
        <w:t xml:space="preserve"> training providers. If a practice requires </w:t>
      </w:r>
      <w:r w:rsidR="004129DF" w:rsidRPr="00664BA7">
        <w:rPr>
          <w:sz w:val="22"/>
          <w:szCs w:val="22"/>
        </w:rPr>
        <w:t xml:space="preserve">further </w:t>
      </w:r>
      <w:r w:rsidRPr="00664BA7">
        <w:rPr>
          <w:sz w:val="22"/>
          <w:szCs w:val="22"/>
        </w:rPr>
        <w:t>assistance to identify a training provider</w:t>
      </w:r>
      <w:r w:rsidR="004129DF" w:rsidRPr="00664BA7">
        <w:rPr>
          <w:sz w:val="22"/>
          <w:szCs w:val="22"/>
        </w:rPr>
        <w:t>,</w:t>
      </w:r>
      <w:r w:rsidRPr="00664BA7">
        <w:rPr>
          <w:sz w:val="22"/>
          <w:szCs w:val="22"/>
        </w:rPr>
        <w:t xml:space="preserve"> the </w:t>
      </w:r>
      <w:r w:rsidR="004129DF" w:rsidRPr="00664BA7">
        <w:rPr>
          <w:sz w:val="22"/>
          <w:szCs w:val="22"/>
        </w:rPr>
        <w:t xml:space="preserve">PHO or </w:t>
      </w:r>
      <w:r w:rsidRPr="00664BA7">
        <w:rPr>
          <w:sz w:val="22"/>
          <w:szCs w:val="22"/>
        </w:rPr>
        <w:t>College may be able to assist with information or contacts</w:t>
      </w:r>
      <w:r w:rsidR="00903928" w:rsidRPr="00664BA7">
        <w:rPr>
          <w:sz w:val="22"/>
          <w:szCs w:val="22"/>
        </w:rPr>
        <w:t>.</w:t>
      </w:r>
    </w:p>
    <w:p w14:paraId="646DAE40" w14:textId="7662BCEA" w:rsidR="00477FB4" w:rsidRDefault="00477FB4">
      <w:pPr>
        <w:spacing w:after="0"/>
        <w:rPr>
          <w:b/>
          <w:color w:val="EE7624"/>
          <w:sz w:val="56"/>
          <w:szCs w:val="56"/>
        </w:rPr>
      </w:pPr>
      <w:r>
        <w:br w:type="page"/>
      </w:r>
    </w:p>
    <w:p w14:paraId="44F66082" w14:textId="77777777" w:rsidR="00056B21" w:rsidRDefault="00056B21" w:rsidP="006D1166">
      <w:pPr>
        <w:pStyle w:val="Heading1"/>
      </w:pPr>
    </w:p>
    <w:p w14:paraId="12AAF956" w14:textId="77777777" w:rsidR="00570253" w:rsidRDefault="00570253" w:rsidP="006D1166">
      <w:pPr>
        <w:pStyle w:val="Heading1"/>
        <w:rPr>
          <w:sz w:val="96"/>
          <w:szCs w:val="96"/>
        </w:rPr>
      </w:pPr>
    </w:p>
    <w:p w14:paraId="69FB15CE" w14:textId="77777777" w:rsidR="00570253" w:rsidRDefault="00570253" w:rsidP="006D1166">
      <w:pPr>
        <w:pStyle w:val="Heading1"/>
        <w:rPr>
          <w:sz w:val="96"/>
          <w:szCs w:val="96"/>
        </w:rPr>
      </w:pPr>
    </w:p>
    <w:p w14:paraId="0A8BC8B6" w14:textId="77777777" w:rsidR="002B16F2" w:rsidRDefault="002B16F2" w:rsidP="006D1166">
      <w:pPr>
        <w:pStyle w:val="Heading1"/>
        <w:rPr>
          <w:sz w:val="96"/>
          <w:szCs w:val="96"/>
        </w:rPr>
      </w:pPr>
    </w:p>
    <w:p w14:paraId="1B5D2681" w14:textId="77777777" w:rsidR="002B16F2" w:rsidRDefault="002B16F2" w:rsidP="006D1166">
      <w:pPr>
        <w:pStyle w:val="Heading1"/>
        <w:rPr>
          <w:sz w:val="96"/>
          <w:szCs w:val="96"/>
        </w:rPr>
      </w:pPr>
    </w:p>
    <w:p w14:paraId="5274F33F" w14:textId="2F9FAA83" w:rsidR="00735AE4" w:rsidRPr="00056B21" w:rsidRDefault="00056B21" w:rsidP="006D1166">
      <w:pPr>
        <w:pStyle w:val="Heading1"/>
        <w:rPr>
          <w:sz w:val="96"/>
          <w:szCs w:val="96"/>
        </w:rPr>
      </w:pPr>
      <w:bookmarkStart w:id="12" w:name="_Toc6998652"/>
      <w:r w:rsidRPr="00056B21">
        <w:rPr>
          <w:sz w:val="96"/>
          <w:szCs w:val="96"/>
        </w:rPr>
        <w:t>Draft Foundation Standard</w:t>
      </w:r>
      <w:r w:rsidR="00060593">
        <w:rPr>
          <w:sz w:val="96"/>
          <w:szCs w:val="96"/>
        </w:rPr>
        <w:t xml:space="preserve"> Module</w:t>
      </w:r>
      <w:bookmarkEnd w:id="12"/>
    </w:p>
    <w:p w14:paraId="1F6AE9A2" w14:textId="77777777" w:rsidR="00056B21" w:rsidRDefault="00056B21">
      <w:pPr>
        <w:spacing w:after="0"/>
        <w:rPr>
          <w:b/>
          <w:color w:val="EE7624"/>
          <w:sz w:val="56"/>
          <w:szCs w:val="56"/>
        </w:rPr>
      </w:pPr>
      <w:r>
        <w:br w:type="page"/>
      </w:r>
    </w:p>
    <w:p w14:paraId="737769B7" w14:textId="1F81EAD8" w:rsidR="00056B21" w:rsidRDefault="00056B21">
      <w:pPr>
        <w:spacing w:after="0"/>
        <w:rPr>
          <w:b/>
          <w:color w:val="EE7624"/>
          <w:sz w:val="56"/>
          <w:szCs w:val="56"/>
        </w:rPr>
      </w:pPr>
    </w:p>
    <w:p w14:paraId="67578BA1" w14:textId="77777777" w:rsidR="00735AE4" w:rsidRDefault="00735AE4" w:rsidP="006D1166">
      <w:pPr>
        <w:pStyle w:val="Heading1"/>
      </w:pPr>
    </w:p>
    <w:p w14:paraId="1997DA22" w14:textId="77777777" w:rsidR="00735AE4" w:rsidRDefault="00735AE4" w:rsidP="006D1166">
      <w:pPr>
        <w:pStyle w:val="Heading1"/>
      </w:pPr>
    </w:p>
    <w:p w14:paraId="6C1D4B71" w14:textId="77777777" w:rsidR="00056B21" w:rsidRDefault="00056B21" w:rsidP="006D1166">
      <w:pPr>
        <w:pStyle w:val="Heading1"/>
      </w:pPr>
    </w:p>
    <w:p w14:paraId="5A06BC74" w14:textId="77777777" w:rsidR="00056B21" w:rsidRDefault="00056B21" w:rsidP="006D1166">
      <w:pPr>
        <w:pStyle w:val="Heading1"/>
      </w:pPr>
    </w:p>
    <w:p w14:paraId="5DA0DE61" w14:textId="77777777" w:rsidR="00056B21" w:rsidRDefault="00056B21" w:rsidP="006D1166">
      <w:pPr>
        <w:pStyle w:val="Heading1"/>
      </w:pPr>
    </w:p>
    <w:p w14:paraId="72360467" w14:textId="77777777" w:rsidR="00056B21" w:rsidRDefault="00056B21" w:rsidP="006D1166">
      <w:pPr>
        <w:pStyle w:val="Heading1"/>
      </w:pPr>
    </w:p>
    <w:p w14:paraId="356FE699" w14:textId="77777777" w:rsidR="00056B21" w:rsidRDefault="00056B21" w:rsidP="006D1166">
      <w:pPr>
        <w:pStyle w:val="Heading1"/>
      </w:pPr>
    </w:p>
    <w:p w14:paraId="6FB7DFC7" w14:textId="77777777" w:rsidR="00056B21" w:rsidRDefault="00056B21" w:rsidP="006D1166">
      <w:pPr>
        <w:pStyle w:val="Heading1"/>
      </w:pPr>
    </w:p>
    <w:p w14:paraId="2BB8E806" w14:textId="77777777" w:rsidR="00056B21" w:rsidRDefault="00056B21" w:rsidP="006D1166">
      <w:pPr>
        <w:pStyle w:val="Heading1"/>
      </w:pPr>
    </w:p>
    <w:p w14:paraId="675C8698" w14:textId="7C10CDED" w:rsidR="0055408F" w:rsidRPr="0055408F" w:rsidRDefault="0055408F" w:rsidP="006D1166">
      <w:pPr>
        <w:pStyle w:val="Heading1"/>
        <w:rPr>
          <w:b w:val="0"/>
        </w:rPr>
      </w:pPr>
      <w:bookmarkStart w:id="13" w:name="_Toc6998653"/>
      <w:r w:rsidRPr="000C6773">
        <w:t>Section</w:t>
      </w:r>
      <w:r w:rsidRPr="0055408F">
        <w:t xml:space="preserve"> 1</w:t>
      </w:r>
      <w:r w:rsidR="006D1166">
        <w:t xml:space="preserve">: </w:t>
      </w:r>
      <w:r w:rsidRPr="0055408F">
        <w:rPr>
          <w:b w:val="0"/>
        </w:rPr>
        <w:t>Tikanga tūroro | Patient rights</w:t>
      </w:r>
      <w:bookmarkEnd w:id="13"/>
    </w:p>
    <w:p w14:paraId="54E5392C" w14:textId="77777777" w:rsidR="00836A0A" w:rsidRDefault="00836A0A">
      <w:pPr>
        <w:spacing w:after="0"/>
      </w:pPr>
    </w:p>
    <w:p w14:paraId="3DBB0234" w14:textId="77777777" w:rsidR="00836A0A" w:rsidRDefault="00836A0A">
      <w:pPr>
        <w:spacing w:after="0"/>
      </w:pPr>
    </w:p>
    <w:p w14:paraId="51D61582" w14:textId="78CF2493" w:rsidR="0055408F" w:rsidRDefault="0055408F">
      <w:pPr>
        <w:spacing w:after="0"/>
      </w:pPr>
      <w:r>
        <w:br w:type="page"/>
      </w:r>
    </w:p>
    <w:p w14:paraId="2324A748" w14:textId="2145C3A2" w:rsidR="007E6335" w:rsidRDefault="00166C35" w:rsidP="006D11A9">
      <w:pPr>
        <w:pStyle w:val="HHLSubHeading"/>
        <w:numPr>
          <w:ilvl w:val="0"/>
          <w:numId w:val="0"/>
        </w:numPr>
        <w:tabs>
          <w:tab w:val="left" w:pos="1560"/>
        </w:tabs>
        <w:ind w:left="1560" w:hanging="1560"/>
      </w:pPr>
      <w:bookmarkStart w:id="14" w:name="_Toc6998654"/>
      <w:bookmarkStart w:id="15" w:name="_Hlk4397156"/>
      <w:r w:rsidRPr="00902640">
        <w:lastRenderedPageBreak/>
        <w:t>Indicator 1</w:t>
      </w:r>
      <w:r w:rsidR="00C23817">
        <w:t>:</w:t>
      </w:r>
      <w:r w:rsidR="006D11A9">
        <w:tab/>
      </w:r>
      <w:r w:rsidR="0051068E" w:rsidRPr="0051068E">
        <w:t>Code of Health and Disability Services Consumers’ Rights 1996.</w:t>
      </w:r>
      <w:bookmarkEnd w:id="14"/>
    </w:p>
    <w:p w14:paraId="4A5B48C8" w14:textId="388684C9" w:rsidR="009D6440" w:rsidRPr="00BA3ECD" w:rsidRDefault="00166C35" w:rsidP="00BA3ECD">
      <w:pPr>
        <w:pStyle w:val="HHLBodyText"/>
        <w:rPr>
          <w:b/>
          <w:sz w:val="28"/>
        </w:rPr>
      </w:pPr>
      <w:r w:rsidRPr="00BA3ECD">
        <w:rPr>
          <w:b/>
        </w:rPr>
        <w:t xml:space="preserve">Our </w:t>
      </w:r>
      <w:r w:rsidR="00B05F5A">
        <w:rPr>
          <w:b/>
        </w:rPr>
        <w:t xml:space="preserve">practice </w:t>
      </w:r>
      <w:r w:rsidRPr="00BA3ECD">
        <w:rPr>
          <w:b/>
        </w:rPr>
        <w:t xml:space="preserve">team </w:t>
      </w:r>
      <w:bookmarkEnd w:id="15"/>
      <w:r w:rsidRPr="00BA3ECD">
        <w:rPr>
          <w:b/>
        </w:rPr>
        <w:t xml:space="preserve">have a working knowledge of the Code of Health and </w:t>
      </w:r>
      <w:r w:rsidR="003E1F09" w:rsidRPr="00BA3ECD">
        <w:rPr>
          <w:b/>
        </w:rPr>
        <w:t>Disability Services Consumers’ Rights 1996</w:t>
      </w:r>
      <w:r w:rsidR="00EF068B" w:rsidRPr="00BA3ECD">
        <w:rPr>
          <w:b/>
        </w:rPr>
        <w:t>.</w:t>
      </w:r>
      <w:r w:rsidRPr="00BA3EC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39"/>
        <w:gridCol w:w="4052"/>
      </w:tblGrid>
      <w:tr w:rsidR="00DC4DAF" w:rsidRPr="00752E24" w14:paraId="2F936172" w14:textId="5258C153" w:rsidTr="00DD70C4">
        <w:tc>
          <w:tcPr>
            <w:tcW w:w="1153" w:type="dxa"/>
            <w:shd w:val="clear" w:color="auto" w:fill="FBD4B4" w:themeFill="accent6" w:themeFillTint="66"/>
          </w:tcPr>
          <w:p w14:paraId="2624A4D8" w14:textId="7051DE5E" w:rsidR="00DC4DAF" w:rsidRPr="000837FF" w:rsidRDefault="00BD10EC" w:rsidP="009949E9">
            <w:pPr>
              <w:spacing w:before="120" w:after="120"/>
              <w:rPr>
                <w:b/>
                <w:color w:val="auto"/>
                <w:sz w:val="22"/>
                <w:szCs w:val="22"/>
              </w:rPr>
            </w:pPr>
            <w:r>
              <w:rPr>
                <w:b/>
                <w:color w:val="auto"/>
                <w:sz w:val="22"/>
                <w:szCs w:val="22"/>
              </w:rPr>
              <w:t>Criteria</w:t>
            </w:r>
            <w:r w:rsidR="00C07186">
              <w:rPr>
                <w:b/>
                <w:color w:val="auto"/>
                <w:sz w:val="22"/>
                <w:szCs w:val="22"/>
              </w:rPr>
              <w:t xml:space="preserve"> </w:t>
            </w:r>
          </w:p>
        </w:tc>
        <w:tc>
          <w:tcPr>
            <w:tcW w:w="4568" w:type="dxa"/>
            <w:shd w:val="clear" w:color="auto" w:fill="FBD4B4" w:themeFill="accent6" w:themeFillTint="66"/>
          </w:tcPr>
          <w:p w14:paraId="536EF942" w14:textId="25EA8B28" w:rsidR="00DC4DAF" w:rsidRPr="000837FF" w:rsidRDefault="00DC4DAF" w:rsidP="009949E9">
            <w:pPr>
              <w:spacing w:before="120" w:after="120"/>
              <w:rPr>
                <w:b/>
                <w:color w:val="auto"/>
                <w:sz w:val="22"/>
                <w:szCs w:val="22"/>
              </w:rPr>
            </w:pPr>
            <w:r w:rsidRPr="000837FF">
              <w:rPr>
                <w:b/>
                <w:color w:val="auto"/>
                <w:sz w:val="22"/>
                <w:szCs w:val="22"/>
              </w:rPr>
              <w:t>Your pr</w:t>
            </w:r>
            <w:r w:rsidR="00BD10EC">
              <w:rPr>
                <w:b/>
                <w:color w:val="auto"/>
                <w:sz w:val="22"/>
                <w:szCs w:val="22"/>
              </w:rPr>
              <w:t>a</w:t>
            </w:r>
            <w:r w:rsidRPr="000837FF">
              <w:rPr>
                <w:b/>
                <w:color w:val="auto"/>
                <w:sz w:val="22"/>
                <w:szCs w:val="22"/>
              </w:rPr>
              <w:t>ct</w:t>
            </w:r>
            <w:r w:rsidR="00BD10EC">
              <w:rPr>
                <w:b/>
                <w:color w:val="auto"/>
                <w:sz w:val="22"/>
                <w:szCs w:val="22"/>
              </w:rPr>
              <w:t>i</w:t>
            </w:r>
            <w:r w:rsidRPr="000837FF">
              <w:rPr>
                <w:b/>
                <w:color w:val="auto"/>
                <w:sz w:val="22"/>
                <w:szCs w:val="22"/>
              </w:rPr>
              <w:t>ce is required to:</w:t>
            </w:r>
          </w:p>
        </w:tc>
        <w:tc>
          <w:tcPr>
            <w:tcW w:w="4075" w:type="dxa"/>
            <w:shd w:val="clear" w:color="auto" w:fill="FBD4B4" w:themeFill="accent6" w:themeFillTint="66"/>
          </w:tcPr>
          <w:p w14:paraId="31FD6259" w14:textId="28F12202" w:rsidR="00DC4DAF" w:rsidRPr="000837FF" w:rsidRDefault="00DC4DAF" w:rsidP="009949E9">
            <w:pPr>
              <w:spacing w:before="120" w:after="120"/>
              <w:rPr>
                <w:b/>
                <w:color w:val="auto"/>
                <w:sz w:val="22"/>
                <w:szCs w:val="22"/>
              </w:rPr>
            </w:pPr>
            <w:r w:rsidRPr="000837FF">
              <w:rPr>
                <w:b/>
                <w:color w:val="auto"/>
                <w:sz w:val="22"/>
                <w:szCs w:val="22"/>
              </w:rPr>
              <w:t>Required evidence</w:t>
            </w:r>
          </w:p>
        </w:tc>
      </w:tr>
      <w:tr w:rsidR="00AE5165" w:rsidRPr="00752E24" w14:paraId="05F6645D" w14:textId="60B2B7F6" w:rsidTr="00DD70C4">
        <w:tc>
          <w:tcPr>
            <w:tcW w:w="1153" w:type="dxa"/>
          </w:tcPr>
          <w:p w14:paraId="08EBCFB3" w14:textId="380FEC4F" w:rsidR="00AE5165" w:rsidRPr="000837FF" w:rsidRDefault="00AE5165" w:rsidP="00AE5165">
            <w:pPr>
              <w:spacing w:before="60"/>
              <w:rPr>
                <w:color w:val="auto"/>
                <w:sz w:val="22"/>
                <w:szCs w:val="22"/>
              </w:rPr>
            </w:pPr>
            <w:r w:rsidRPr="000837FF">
              <w:rPr>
                <w:color w:val="auto"/>
                <w:sz w:val="22"/>
                <w:szCs w:val="22"/>
              </w:rPr>
              <w:t>1.</w:t>
            </w:r>
            <w:r>
              <w:rPr>
                <w:color w:val="auto"/>
                <w:sz w:val="22"/>
                <w:szCs w:val="22"/>
              </w:rPr>
              <w:t>1</w:t>
            </w:r>
          </w:p>
        </w:tc>
        <w:tc>
          <w:tcPr>
            <w:tcW w:w="4568" w:type="dxa"/>
          </w:tcPr>
          <w:p w14:paraId="440E1015" w14:textId="236B6441" w:rsidR="00AE5165" w:rsidRPr="000837FF" w:rsidRDefault="00AE5165" w:rsidP="00AE5165">
            <w:pPr>
              <w:spacing w:before="60"/>
              <w:rPr>
                <w:color w:val="auto"/>
                <w:sz w:val="22"/>
                <w:szCs w:val="22"/>
              </w:rPr>
            </w:pPr>
            <w:r w:rsidRPr="000837FF">
              <w:rPr>
                <w:color w:val="auto"/>
                <w:sz w:val="22"/>
                <w:szCs w:val="22"/>
              </w:rPr>
              <w:t xml:space="preserve">Ensure team members are trained to understand and implement the </w:t>
            </w:r>
            <w:r w:rsidRPr="002352CD">
              <w:rPr>
                <w:color w:val="auto"/>
                <w:sz w:val="22"/>
                <w:szCs w:val="22"/>
              </w:rPr>
              <w:t>Code of Health and Disability Services Consumers’ Rights 1996.</w:t>
            </w:r>
          </w:p>
        </w:tc>
        <w:tc>
          <w:tcPr>
            <w:tcW w:w="4075" w:type="dxa"/>
          </w:tcPr>
          <w:p w14:paraId="5EC6418B" w14:textId="090FF590" w:rsidR="00AE5165" w:rsidRPr="00F628F5" w:rsidRDefault="002F0F5B" w:rsidP="00AE5165">
            <w:pPr>
              <w:spacing w:before="60"/>
              <w:rPr>
                <w:color w:val="auto"/>
                <w:sz w:val="22"/>
                <w:szCs w:val="22"/>
              </w:rPr>
            </w:pPr>
            <w:r w:rsidRPr="00F628F5">
              <w:rPr>
                <w:color w:val="auto"/>
                <w:sz w:val="22"/>
                <w:szCs w:val="22"/>
              </w:rPr>
              <w:t>Staff training records</w:t>
            </w:r>
            <w:r>
              <w:rPr>
                <w:color w:val="auto"/>
                <w:sz w:val="22"/>
                <w:szCs w:val="22"/>
              </w:rPr>
              <w:t xml:space="preserve"> </w:t>
            </w:r>
            <w:r w:rsidR="004F35BA">
              <w:rPr>
                <w:color w:val="auto"/>
                <w:sz w:val="22"/>
                <w:szCs w:val="22"/>
              </w:rPr>
              <w:t xml:space="preserve">demonstrate </w:t>
            </w:r>
            <w:r>
              <w:rPr>
                <w:color w:val="auto"/>
                <w:sz w:val="22"/>
                <w:szCs w:val="22"/>
              </w:rPr>
              <w:t>completion of required training</w:t>
            </w:r>
            <w:r w:rsidR="00427C78">
              <w:rPr>
                <w:color w:val="auto"/>
                <w:sz w:val="22"/>
                <w:szCs w:val="22"/>
              </w:rPr>
              <w:t xml:space="preserve"> by team members</w:t>
            </w:r>
            <w:r>
              <w:rPr>
                <w:color w:val="auto"/>
                <w:sz w:val="22"/>
                <w:szCs w:val="22"/>
              </w:rPr>
              <w:t>.</w:t>
            </w:r>
          </w:p>
          <w:p w14:paraId="43484B15" w14:textId="76CD5140" w:rsidR="00AE5165" w:rsidRPr="000837FF" w:rsidRDefault="00AE5165" w:rsidP="00AE5165">
            <w:pPr>
              <w:spacing w:before="60"/>
              <w:rPr>
                <w:color w:val="auto"/>
                <w:sz w:val="22"/>
                <w:szCs w:val="22"/>
              </w:rPr>
            </w:pPr>
            <w:r w:rsidRPr="00F628F5">
              <w:rPr>
                <w:color w:val="auto"/>
                <w:sz w:val="22"/>
                <w:szCs w:val="22"/>
              </w:rPr>
              <w:t xml:space="preserve"> </w:t>
            </w:r>
          </w:p>
        </w:tc>
      </w:tr>
      <w:tr w:rsidR="00AE5165" w:rsidRPr="00752E24" w14:paraId="274D8590" w14:textId="77777777" w:rsidTr="00DD70C4">
        <w:tc>
          <w:tcPr>
            <w:tcW w:w="1153" w:type="dxa"/>
          </w:tcPr>
          <w:p w14:paraId="5C8BA9B5" w14:textId="75496F12" w:rsidR="00AE5165" w:rsidRPr="000837FF" w:rsidRDefault="00AE5165" w:rsidP="00AE5165">
            <w:pPr>
              <w:spacing w:before="60"/>
              <w:rPr>
                <w:color w:val="auto"/>
                <w:sz w:val="22"/>
                <w:szCs w:val="22"/>
              </w:rPr>
            </w:pPr>
            <w:r>
              <w:rPr>
                <w:color w:val="auto"/>
                <w:sz w:val="22"/>
                <w:szCs w:val="22"/>
              </w:rPr>
              <w:t>1.2</w:t>
            </w:r>
          </w:p>
        </w:tc>
        <w:tc>
          <w:tcPr>
            <w:tcW w:w="4568" w:type="dxa"/>
          </w:tcPr>
          <w:p w14:paraId="74FA5F0A" w14:textId="3658F9D2" w:rsidR="00AE5165" w:rsidRPr="000837FF" w:rsidRDefault="00AE5165" w:rsidP="00AE5165">
            <w:pPr>
              <w:spacing w:before="60"/>
              <w:rPr>
                <w:color w:val="auto"/>
                <w:sz w:val="22"/>
                <w:szCs w:val="22"/>
              </w:rPr>
            </w:pPr>
            <w:r w:rsidRPr="00F628F5">
              <w:rPr>
                <w:color w:val="auto"/>
                <w:sz w:val="22"/>
                <w:szCs w:val="22"/>
              </w:rPr>
              <w:t xml:space="preserve">Ensure </w:t>
            </w:r>
            <w:r>
              <w:rPr>
                <w:color w:val="auto"/>
                <w:sz w:val="22"/>
                <w:szCs w:val="22"/>
              </w:rPr>
              <w:t xml:space="preserve">a poster(s) and </w:t>
            </w:r>
            <w:r w:rsidRPr="00F628F5">
              <w:rPr>
                <w:color w:val="auto"/>
                <w:sz w:val="22"/>
                <w:szCs w:val="22"/>
              </w:rPr>
              <w:t xml:space="preserve">brochures about the </w:t>
            </w:r>
            <w:r w:rsidRPr="002352CD">
              <w:rPr>
                <w:color w:val="auto"/>
                <w:sz w:val="22"/>
                <w:szCs w:val="22"/>
              </w:rPr>
              <w:t>Code of Health and Disability Services Consumers’ Rights 1996</w:t>
            </w:r>
            <w:r w:rsidRPr="00F628F5">
              <w:rPr>
                <w:color w:val="auto"/>
                <w:sz w:val="22"/>
                <w:szCs w:val="22"/>
              </w:rPr>
              <w:t xml:space="preserve"> are available for patients to access</w:t>
            </w:r>
            <w:r>
              <w:rPr>
                <w:color w:val="auto"/>
                <w:sz w:val="22"/>
                <w:szCs w:val="22"/>
              </w:rPr>
              <w:t>.</w:t>
            </w:r>
          </w:p>
        </w:tc>
        <w:tc>
          <w:tcPr>
            <w:tcW w:w="4075" w:type="dxa"/>
          </w:tcPr>
          <w:p w14:paraId="441CFE1D" w14:textId="444C3C0D" w:rsidR="00AE5165" w:rsidRPr="00F628F5" w:rsidRDefault="00AE5165" w:rsidP="00AE5165">
            <w:pPr>
              <w:spacing w:before="60"/>
              <w:rPr>
                <w:color w:val="auto"/>
                <w:sz w:val="22"/>
                <w:szCs w:val="22"/>
              </w:rPr>
            </w:pPr>
            <w:r w:rsidRPr="0053244A">
              <w:rPr>
                <w:color w:val="auto"/>
                <w:sz w:val="22"/>
                <w:szCs w:val="22"/>
              </w:rPr>
              <w:t xml:space="preserve">A poster of the </w:t>
            </w:r>
            <w:r w:rsidRPr="002352CD">
              <w:rPr>
                <w:color w:val="auto"/>
                <w:sz w:val="22"/>
                <w:szCs w:val="22"/>
              </w:rPr>
              <w:t>Code of Health and Disability Services Consumers’ Rights 1996</w:t>
            </w:r>
            <w:r w:rsidRPr="0053244A">
              <w:rPr>
                <w:color w:val="auto"/>
                <w:sz w:val="22"/>
                <w:szCs w:val="22"/>
              </w:rPr>
              <w:t xml:space="preserve"> is displayed in languages, including</w:t>
            </w:r>
            <w:r>
              <w:rPr>
                <w:color w:val="auto"/>
                <w:sz w:val="22"/>
                <w:szCs w:val="22"/>
              </w:rPr>
              <w:t xml:space="preserve"> te reo M</w:t>
            </w:r>
            <w:r>
              <w:rPr>
                <w:rFonts w:cs="Arial"/>
                <w:color w:val="auto"/>
                <w:sz w:val="22"/>
                <w:szCs w:val="22"/>
              </w:rPr>
              <w:t>ā</w:t>
            </w:r>
            <w:r>
              <w:rPr>
                <w:color w:val="auto"/>
                <w:sz w:val="22"/>
                <w:szCs w:val="22"/>
              </w:rPr>
              <w:t xml:space="preserve">ori, </w:t>
            </w:r>
            <w:r w:rsidRPr="0053244A">
              <w:rPr>
                <w:color w:val="auto"/>
                <w:sz w:val="22"/>
                <w:szCs w:val="22"/>
              </w:rPr>
              <w:t xml:space="preserve">sign language, </w:t>
            </w:r>
            <w:r>
              <w:rPr>
                <w:color w:val="auto"/>
                <w:sz w:val="22"/>
                <w:szCs w:val="22"/>
              </w:rPr>
              <w:t xml:space="preserve">and others </w:t>
            </w:r>
            <w:r w:rsidR="00856407">
              <w:rPr>
                <w:color w:val="auto"/>
                <w:sz w:val="22"/>
                <w:szCs w:val="22"/>
              </w:rPr>
              <w:t>that reflect</w:t>
            </w:r>
            <w:r w:rsidRPr="0053244A">
              <w:rPr>
                <w:color w:val="auto"/>
                <w:sz w:val="22"/>
                <w:szCs w:val="22"/>
              </w:rPr>
              <w:t xml:space="preserve"> </w:t>
            </w:r>
            <w:r w:rsidR="004F35BA">
              <w:rPr>
                <w:color w:val="auto"/>
                <w:sz w:val="22"/>
                <w:szCs w:val="22"/>
              </w:rPr>
              <w:t>the practices</w:t>
            </w:r>
            <w:r w:rsidR="004F35BA" w:rsidRPr="0053244A">
              <w:rPr>
                <w:color w:val="auto"/>
                <w:sz w:val="22"/>
                <w:szCs w:val="22"/>
              </w:rPr>
              <w:t xml:space="preserve"> </w:t>
            </w:r>
            <w:r>
              <w:rPr>
                <w:color w:val="auto"/>
                <w:sz w:val="22"/>
                <w:szCs w:val="22"/>
              </w:rPr>
              <w:t xml:space="preserve">enrolled </w:t>
            </w:r>
            <w:r w:rsidRPr="0053244A">
              <w:rPr>
                <w:color w:val="auto"/>
                <w:sz w:val="22"/>
                <w:szCs w:val="22"/>
              </w:rPr>
              <w:t>patient population</w:t>
            </w:r>
            <w:r>
              <w:rPr>
                <w:color w:val="auto"/>
                <w:sz w:val="22"/>
                <w:szCs w:val="22"/>
              </w:rPr>
              <w:t>.</w:t>
            </w:r>
          </w:p>
        </w:tc>
      </w:tr>
      <w:tr w:rsidR="00AE5165" w:rsidRPr="00752E24" w14:paraId="45D08C74" w14:textId="477541FD" w:rsidTr="00DD70C4">
        <w:tc>
          <w:tcPr>
            <w:tcW w:w="1153" w:type="dxa"/>
          </w:tcPr>
          <w:p w14:paraId="6032FD37" w14:textId="62DB7C15" w:rsidR="00AE5165" w:rsidRPr="000837FF" w:rsidRDefault="00AE5165" w:rsidP="00AE5165">
            <w:pPr>
              <w:spacing w:before="60"/>
              <w:rPr>
                <w:color w:val="auto"/>
                <w:sz w:val="22"/>
                <w:szCs w:val="22"/>
              </w:rPr>
            </w:pPr>
            <w:r w:rsidRPr="000837FF">
              <w:rPr>
                <w:color w:val="auto"/>
                <w:sz w:val="22"/>
                <w:szCs w:val="22"/>
              </w:rPr>
              <w:t>1.</w:t>
            </w:r>
            <w:r>
              <w:rPr>
                <w:color w:val="auto"/>
                <w:sz w:val="22"/>
                <w:szCs w:val="22"/>
              </w:rPr>
              <w:t>3</w:t>
            </w:r>
          </w:p>
        </w:tc>
        <w:tc>
          <w:tcPr>
            <w:tcW w:w="4568" w:type="dxa"/>
          </w:tcPr>
          <w:p w14:paraId="5874F084" w14:textId="0FAF573C" w:rsidR="00AE5165" w:rsidRPr="000837FF" w:rsidRDefault="00AE5165" w:rsidP="00AE5165">
            <w:pPr>
              <w:spacing w:before="60"/>
              <w:rPr>
                <w:color w:val="auto"/>
                <w:sz w:val="22"/>
                <w:szCs w:val="22"/>
              </w:rPr>
            </w:pPr>
            <w:r w:rsidRPr="00F628F5">
              <w:rPr>
                <w:color w:val="auto"/>
                <w:sz w:val="22"/>
                <w:szCs w:val="22"/>
              </w:rPr>
              <w:t>Inform patients of their right to have one or more support persons present during a consultation</w:t>
            </w:r>
            <w:r>
              <w:rPr>
                <w:color w:val="auto"/>
                <w:sz w:val="22"/>
                <w:szCs w:val="22"/>
              </w:rPr>
              <w:t>.</w:t>
            </w:r>
          </w:p>
        </w:tc>
        <w:tc>
          <w:tcPr>
            <w:tcW w:w="4075" w:type="dxa"/>
          </w:tcPr>
          <w:p w14:paraId="105A7646" w14:textId="77777777" w:rsidR="00AE5165" w:rsidRDefault="00AE5165" w:rsidP="00DD70C4">
            <w:pPr>
              <w:pStyle w:val="ListParagraph"/>
              <w:spacing w:before="60"/>
              <w:ind w:left="0"/>
              <w:contextualSpacing w:val="0"/>
              <w:rPr>
                <w:color w:val="auto"/>
                <w:sz w:val="22"/>
                <w:szCs w:val="22"/>
              </w:rPr>
            </w:pPr>
            <w:r w:rsidRPr="0082288F">
              <w:rPr>
                <w:color w:val="auto"/>
                <w:sz w:val="22"/>
                <w:szCs w:val="22"/>
              </w:rPr>
              <w:t xml:space="preserve">A </w:t>
            </w:r>
            <w:r w:rsidR="00856407" w:rsidRPr="0082288F">
              <w:rPr>
                <w:color w:val="auto"/>
                <w:sz w:val="22"/>
                <w:szCs w:val="22"/>
              </w:rPr>
              <w:t>poster and/or brochure</w:t>
            </w:r>
            <w:r w:rsidRPr="0082288F">
              <w:rPr>
                <w:color w:val="auto"/>
                <w:sz w:val="22"/>
                <w:szCs w:val="22"/>
              </w:rPr>
              <w:t xml:space="preserve"> are displayed in all clinical and waiting rooms advising patients they can have a support person(s) present.</w:t>
            </w:r>
          </w:p>
          <w:p w14:paraId="78716D2F" w14:textId="1B55FCE3" w:rsidR="0082288F" w:rsidRPr="001640BE" w:rsidRDefault="0082288F" w:rsidP="00B277AD">
            <w:pPr>
              <w:pStyle w:val="ListParagraph"/>
              <w:spacing w:before="60"/>
              <w:ind w:left="284"/>
              <w:rPr>
                <w:color w:val="auto"/>
                <w:sz w:val="22"/>
                <w:szCs w:val="22"/>
                <w:lang w:val="en-NZ"/>
              </w:rPr>
            </w:pPr>
          </w:p>
        </w:tc>
      </w:tr>
      <w:tr w:rsidR="00AE5165" w:rsidRPr="00752E24" w14:paraId="77F78663" w14:textId="25B62103" w:rsidTr="00DD70C4">
        <w:tc>
          <w:tcPr>
            <w:tcW w:w="1153" w:type="dxa"/>
          </w:tcPr>
          <w:p w14:paraId="096E07A6" w14:textId="7E71D7B3" w:rsidR="00AE5165" w:rsidRPr="000837FF" w:rsidRDefault="00AE5165" w:rsidP="00AE5165">
            <w:pPr>
              <w:spacing w:before="60"/>
              <w:rPr>
                <w:color w:val="auto"/>
                <w:sz w:val="22"/>
                <w:szCs w:val="22"/>
              </w:rPr>
            </w:pPr>
            <w:r w:rsidRPr="000837FF">
              <w:rPr>
                <w:color w:val="auto"/>
                <w:sz w:val="22"/>
                <w:szCs w:val="22"/>
              </w:rPr>
              <w:t>1.</w:t>
            </w:r>
            <w:r>
              <w:rPr>
                <w:color w:val="auto"/>
                <w:sz w:val="22"/>
                <w:szCs w:val="22"/>
              </w:rPr>
              <w:t>4</w:t>
            </w:r>
          </w:p>
        </w:tc>
        <w:tc>
          <w:tcPr>
            <w:tcW w:w="4568" w:type="dxa"/>
          </w:tcPr>
          <w:p w14:paraId="45B9EDD0" w14:textId="10EA08DF" w:rsidR="00AE5165" w:rsidRPr="000837FF" w:rsidRDefault="00AE5165" w:rsidP="00AE5165">
            <w:pPr>
              <w:spacing w:before="60"/>
              <w:rPr>
                <w:color w:val="auto"/>
                <w:sz w:val="22"/>
                <w:szCs w:val="22"/>
              </w:rPr>
            </w:pPr>
            <w:r w:rsidRPr="00F628F5">
              <w:rPr>
                <w:color w:val="auto"/>
                <w:sz w:val="22"/>
                <w:szCs w:val="22"/>
              </w:rPr>
              <w:t>Provide information about the local health advocacy service and ensure it is understood by the team.</w:t>
            </w:r>
          </w:p>
        </w:tc>
        <w:tc>
          <w:tcPr>
            <w:tcW w:w="4075" w:type="dxa"/>
          </w:tcPr>
          <w:p w14:paraId="3FCB7A92" w14:textId="77777777" w:rsidR="008404BF" w:rsidRDefault="00AE5165" w:rsidP="004129DF">
            <w:pPr>
              <w:pStyle w:val="ListParagraph"/>
              <w:spacing w:before="60"/>
              <w:ind w:left="0"/>
              <w:contextualSpacing w:val="0"/>
              <w:rPr>
                <w:color w:val="auto"/>
                <w:sz w:val="22"/>
                <w:szCs w:val="22"/>
              </w:rPr>
            </w:pPr>
            <w:r>
              <w:rPr>
                <w:color w:val="auto"/>
                <w:sz w:val="22"/>
                <w:szCs w:val="22"/>
              </w:rPr>
              <w:t>P</w:t>
            </w:r>
            <w:r w:rsidRPr="001A11F7">
              <w:rPr>
                <w:color w:val="auto"/>
                <w:sz w:val="22"/>
                <w:szCs w:val="22"/>
              </w:rPr>
              <w:t xml:space="preserve">oster and/or </w:t>
            </w:r>
            <w:r>
              <w:rPr>
                <w:color w:val="auto"/>
                <w:sz w:val="22"/>
                <w:szCs w:val="22"/>
              </w:rPr>
              <w:t xml:space="preserve">local health </w:t>
            </w:r>
            <w:r w:rsidRPr="001A11F7">
              <w:rPr>
                <w:color w:val="auto"/>
                <w:sz w:val="22"/>
                <w:szCs w:val="22"/>
              </w:rPr>
              <w:t>advocacy brochures for patients</w:t>
            </w:r>
            <w:r>
              <w:rPr>
                <w:color w:val="auto"/>
                <w:sz w:val="22"/>
                <w:szCs w:val="22"/>
              </w:rPr>
              <w:t xml:space="preserve"> </w:t>
            </w:r>
            <w:r w:rsidRPr="00F628F5">
              <w:rPr>
                <w:color w:val="auto"/>
                <w:sz w:val="22"/>
                <w:szCs w:val="22"/>
              </w:rPr>
              <w:t>are displayed</w:t>
            </w:r>
            <w:r>
              <w:rPr>
                <w:color w:val="auto"/>
                <w:sz w:val="22"/>
                <w:szCs w:val="22"/>
              </w:rPr>
              <w:t xml:space="preserve"> in all clinical and waiting rooms</w:t>
            </w:r>
            <w:r w:rsidRPr="00F628F5">
              <w:rPr>
                <w:color w:val="auto"/>
                <w:sz w:val="22"/>
                <w:szCs w:val="22"/>
              </w:rPr>
              <w:t>.</w:t>
            </w:r>
          </w:p>
          <w:p w14:paraId="571D32B3" w14:textId="34CE067D" w:rsidR="00AE5165" w:rsidRPr="000837FF" w:rsidRDefault="00AE5165" w:rsidP="00427C78">
            <w:pPr>
              <w:pStyle w:val="ListParagraph"/>
              <w:spacing w:before="60"/>
              <w:ind w:left="288"/>
              <w:contextualSpacing w:val="0"/>
              <w:rPr>
                <w:color w:val="auto"/>
                <w:sz w:val="22"/>
                <w:szCs w:val="22"/>
              </w:rPr>
            </w:pPr>
          </w:p>
        </w:tc>
      </w:tr>
      <w:tr w:rsidR="00216B1D" w:rsidRPr="00752E24" w14:paraId="2C3E5132" w14:textId="162EE93A" w:rsidTr="00DD70C4">
        <w:tc>
          <w:tcPr>
            <w:tcW w:w="1153" w:type="dxa"/>
          </w:tcPr>
          <w:p w14:paraId="6A596BFC" w14:textId="1D750530" w:rsidR="00216B1D" w:rsidRPr="000837FF" w:rsidRDefault="00216B1D" w:rsidP="00216B1D">
            <w:pPr>
              <w:spacing w:before="60"/>
              <w:rPr>
                <w:color w:val="auto"/>
                <w:sz w:val="22"/>
                <w:szCs w:val="22"/>
              </w:rPr>
            </w:pPr>
            <w:r w:rsidRPr="000837FF">
              <w:rPr>
                <w:color w:val="auto"/>
                <w:sz w:val="22"/>
                <w:szCs w:val="22"/>
              </w:rPr>
              <w:t>1.5</w:t>
            </w:r>
          </w:p>
        </w:tc>
        <w:tc>
          <w:tcPr>
            <w:tcW w:w="4568" w:type="dxa"/>
          </w:tcPr>
          <w:p w14:paraId="6DEB721B" w14:textId="35D2C79E" w:rsidR="00216B1D" w:rsidRPr="000837FF" w:rsidRDefault="00216B1D" w:rsidP="00216B1D">
            <w:pPr>
              <w:spacing w:before="60"/>
              <w:rPr>
                <w:color w:val="auto"/>
                <w:sz w:val="22"/>
                <w:szCs w:val="22"/>
              </w:rPr>
            </w:pPr>
            <w:r w:rsidRPr="00F628F5">
              <w:rPr>
                <w:color w:val="auto"/>
                <w:sz w:val="22"/>
                <w:szCs w:val="22"/>
              </w:rPr>
              <w:t xml:space="preserve">Ensure interpreters and resources suited to your </w:t>
            </w:r>
            <w:r>
              <w:rPr>
                <w:color w:val="auto"/>
                <w:sz w:val="22"/>
                <w:szCs w:val="22"/>
              </w:rPr>
              <w:t xml:space="preserve">enrolled </w:t>
            </w:r>
            <w:r w:rsidRPr="00F628F5">
              <w:rPr>
                <w:color w:val="auto"/>
                <w:sz w:val="22"/>
                <w:szCs w:val="22"/>
              </w:rPr>
              <w:t>patient population can be accessed</w:t>
            </w:r>
            <w:r>
              <w:rPr>
                <w:color w:val="auto"/>
                <w:sz w:val="22"/>
                <w:szCs w:val="22"/>
              </w:rPr>
              <w:t>.</w:t>
            </w:r>
          </w:p>
        </w:tc>
        <w:tc>
          <w:tcPr>
            <w:tcW w:w="4075" w:type="dxa"/>
          </w:tcPr>
          <w:p w14:paraId="20B614A3" w14:textId="4BF3D95A" w:rsidR="00216B1D" w:rsidRPr="000837FF" w:rsidRDefault="00216B1D" w:rsidP="00216B1D">
            <w:pPr>
              <w:spacing w:before="60"/>
              <w:rPr>
                <w:color w:val="auto"/>
                <w:sz w:val="22"/>
                <w:szCs w:val="22"/>
              </w:rPr>
            </w:pPr>
            <w:r w:rsidRPr="0053244A">
              <w:rPr>
                <w:color w:val="auto"/>
                <w:sz w:val="22"/>
                <w:szCs w:val="22"/>
              </w:rPr>
              <w:t>Demonstrat</w:t>
            </w:r>
            <w:r w:rsidR="00E25F92">
              <w:rPr>
                <w:color w:val="auto"/>
                <w:sz w:val="22"/>
                <w:szCs w:val="22"/>
              </w:rPr>
              <w:t>ion of</w:t>
            </w:r>
            <w:r w:rsidRPr="0053244A">
              <w:rPr>
                <w:color w:val="auto"/>
                <w:sz w:val="22"/>
                <w:szCs w:val="22"/>
              </w:rPr>
              <w:t xml:space="preserve"> the process to access interpreter services</w:t>
            </w:r>
            <w:r>
              <w:rPr>
                <w:color w:val="auto"/>
                <w:sz w:val="22"/>
                <w:szCs w:val="22"/>
              </w:rPr>
              <w:t>.</w:t>
            </w:r>
          </w:p>
        </w:tc>
      </w:tr>
      <w:tr w:rsidR="00216B1D" w:rsidRPr="00752E24" w14:paraId="11D808D0" w14:textId="07B32959" w:rsidTr="00DD70C4">
        <w:tc>
          <w:tcPr>
            <w:tcW w:w="1153" w:type="dxa"/>
          </w:tcPr>
          <w:p w14:paraId="3E4AC4DF" w14:textId="12A54CC7" w:rsidR="00216B1D" w:rsidRPr="000837FF" w:rsidRDefault="00216B1D" w:rsidP="00216B1D">
            <w:pPr>
              <w:spacing w:before="60"/>
              <w:rPr>
                <w:color w:val="auto"/>
                <w:sz w:val="22"/>
                <w:szCs w:val="22"/>
              </w:rPr>
            </w:pPr>
            <w:r>
              <w:rPr>
                <w:color w:val="auto"/>
                <w:sz w:val="22"/>
                <w:szCs w:val="22"/>
              </w:rPr>
              <w:t>1.6</w:t>
            </w:r>
          </w:p>
        </w:tc>
        <w:tc>
          <w:tcPr>
            <w:tcW w:w="4568" w:type="dxa"/>
          </w:tcPr>
          <w:p w14:paraId="7C4D5AF5" w14:textId="3C2FFB6F" w:rsidR="00216B1D" w:rsidRPr="000837FF" w:rsidRDefault="00216B1D" w:rsidP="00216B1D">
            <w:pPr>
              <w:spacing w:before="60"/>
              <w:rPr>
                <w:color w:val="auto"/>
                <w:sz w:val="22"/>
                <w:szCs w:val="22"/>
              </w:rPr>
            </w:pPr>
            <w:r w:rsidRPr="00F628F5">
              <w:rPr>
                <w:color w:val="auto"/>
                <w:sz w:val="22"/>
                <w:szCs w:val="22"/>
              </w:rPr>
              <w:t xml:space="preserve">Ensure </w:t>
            </w:r>
            <w:r>
              <w:rPr>
                <w:color w:val="auto"/>
                <w:sz w:val="22"/>
                <w:szCs w:val="22"/>
              </w:rPr>
              <w:t>patients</w:t>
            </w:r>
            <w:r w:rsidRPr="00F628F5">
              <w:rPr>
                <w:color w:val="auto"/>
                <w:sz w:val="22"/>
                <w:szCs w:val="22"/>
              </w:rPr>
              <w:t xml:space="preserve"> with hearing, sight or speech-impairment can communicate with and access your practice</w:t>
            </w:r>
            <w:r>
              <w:rPr>
                <w:color w:val="auto"/>
                <w:sz w:val="22"/>
                <w:szCs w:val="22"/>
              </w:rPr>
              <w:t>.</w:t>
            </w:r>
          </w:p>
        </w:tc>
        <w:tc>
          <w:tcPr>
            <w:tcW w:w="4075" w:type="dxa"/>
          </w:tcPr>
          <w:p w14:paraId="7F45F09A" w14:textId="263CA574" w:rsidR="00216B1D" w:rsidRPr="000837FF" w:rsidRDefault="00216B1D" w:rsidP="00216B1D">
            <w:pPr>
              <w:spacing w:before="60"/>
              <w:rPr>
                <w:color w:val="auto"/>
                <w:sz w:val="22"/>
                <w:szCs w:val="22"/>
              </w:rPr>
            </w:pPr>
            <w:r w:rsidRPr="0053244A">
              <w:rPr>
                <w:color w:val="auto"/>
                <w:sz w:val="22"/>
                <w:szCs w:val="22"/>
              </w:rPr>
              <w:t>Demonstra</w:t>
            </w:r>
            <w:r w:rsidR="004F35BA">
              <w:rPr>
                <w:color w:val="auto"/>
                <w:sz w:val="22"/>
                <w:szCs w:val="22"/>
              </w:rPr>
              <w:t xml:space="preserve">te </w:t>
            </w:r>
            <w:r w:rsidRPr="0053244A">
              <w:rPr>
                <w:color w:val="auto"/>
                <w:sz w:val="22"/>
                <w:szCs w:val="22"/>
              </w:rPr>
              <w:t>how people with impairments are supported and enabled to communicate with and access your practice</w:t>
            </w:r>
            <w:r>
              <w:rPr>
                <w:color w:val="auto"/>
                <w:sz w:val="22"/>
                <w:szCs w:val="22"/>
              </w:rPr>
              <w:t>.</w:t>
            </w:r>
          </w:p>
        </w:tc>
      </w:tr>
    </w:tbl>
    <w:p w14:paraId="3127C29D" w14:textId="77777777" w:rsidR="002708DB" w:rsidRPr="005B2DE1" w:rsidRDefault="002708DB" w:rsidP="008E0AC0">
      <w:pPr>
        <w:pStyle w:val="HHLBodyText"/>
        <w:spacing w:before="240"/>
        <w:rPr>
          <w:b/>
          <w:sz w:val="22"/>
          <w:szCs w:val="22"/>
        </w:rPr>
      </w:pPr>
      <w:bookmarkStart w:id="16" w:name="_Hlk4500464"/>
      <w:r w:rsidRPr="005B2DE1">
        <w:rPr>
          <w:b/>
          <w:sz w:val="22"/>
          <w:szCs w:val="22"/>
        </w:rPr>
        <w:t>Required training</w:t>
      </w:r>
    </w:p>
    <w:bookmarkEnd w:id="16"/>
    <w:p w14:paraId="5D61DAF3" w14:textId="0B33C758" w:rsidR="002708DB" w:rsidRPr="005B2DE1" w:rsidRDefault="002708DB" w:rsidP="003B21E2">
      <w:pPr>
        <w:pStyle w:val="HHLBodyText"/>
        <w:spacing w:before="0"/>
        <w:rPr>
          <w:sz w:val="22"/>
          <w:szCs w:val="22"/>
        </w:rPr>
      </w:pPr>
      <w:r w:rsidRPr="005B2DE1">
        <w:rPr>
          <w:sz w:val="22"/>
          <w:szCs w:val="22"/>
        </w:rPr>
        <w:t xml:space="preserve">A designated member(s) of the </w:t>
      </w:r>
      <w:r w:rsidR="002D3694" w:rsidRPr="005B2DE1">
        <w:rPr>
          <w:sz w:val="22"/>
          <w:szCs w:val="22"/>
        </w:rPr>
        <w:t>practice</w:t>
      </w:r>
      <w:r w:rsidRPr="005B2DE1">
        <w:rPr>
          <w:sz w:val="22"/>
          <w:szCs w:val="22"/>
        </w:rPr>
        <w:t xml:space="preserve"> team is </w:t>
      </w:r>
      <w:r w:rsidR="008C625F">
        <w:rPr>
          <w:sz w:val="22"/>
          <w:szCs w:val="22"/>
        </w:rPr>
        <w:t xml:space="preserve">required to be </w:t>
      </w:r>
      <w:r w:rsidR="002D3694" w:rsidRPr="005B2DE1">
        <w:rPr>
          <w:sz w:val="22"/>
          <w:szCs w:val="22"/>
        </w:rPr>
        <w:t>familiar</w:t>
      </w:r>
      <w:r w:rsidRPr="005B2DE1">
        <w:rPr>
          <w:sz w:val="22"/>
          <w:szCs w:val="22"/>
        </w:rPr>
        <w:t xml:space="preserve"> with the H</w:t>
      </w:r>
      <w:r w:rsidR="008E0AC0" w:rsidRPr="005B2DE1">
        <w:rPr>
          <w:sz w:val="22"/>
          <w:szCs w:val="22"/>
        </w:rPr>
        <w:t xml:space="preserve">ealth and </w:t>
      </w:r>
      <w:r w:rsidRPr="005B2DE1">
        <w:rPr>
          <w:sz w:val="22"/>
          <w:szCs w:val="22"/>
        </w:rPr>
        <w:t>D</w:t>
      </w:r>
      <w:r w:rsidR="008E0AC0" w:rsidRPr="005B2DE1">
        <w:rPr>
          <w:sz w:val="22"/>
          <w:szCs w:val="22"/>
        </w:rPr>
        <w:t xml:space="preserve">isability </w:t>
      </w:r>
      <w:r w:rsidRPr="005B2DE1">
        <w:rPr>
          <w:sz w:val="22"/>
          <w:szCs w:val="22"/>
        </w:rPr>
        <w:t>C</w:t>
      </w:r>
      <w:r w:rsidR="008E0AC0" w:rsidRPr="005B2DE1">
        <w:rPr>
          <w:sz w:val="22"/>
          <w:szCs w:val="22"/>
        </w:rPr>
        <w:t>ommission</w:t>
      </w:r>
      <w:r w:rsidR="007F3C81">
        <w:rPr>
          <w:sz w:val="22"/>
          <w:szCs w:val="22"/>
        </w:rPr>
        <w:t>er</w:t>
      </w:r>
      <w:r w:rsidR="00D85787">
        <w:rPr>
          <w:sz w:val="22"/>
          <w:szCs w:val="22"/>
        </w:rPr>
        <w:t>’s</w:t>
      </w:r>
      <w:r w:rsidRPr="005B2DE1">
        <w:rPr>
          <w:sz w:val="22"/>
          <w:szCs w:val="22"/>
        </w:rPr>
        <w:t xml:space="preserve"> </w:t>
      </w:r>
      <w:r w:rsidR="007C54F8">
        <w:rPr>
          <w:sz w:val="22"/>
          <w:szCs w:val="22"/>
        </w:rPr>
        <w:t xml:space="preserve">and the Nationwide Health &amp; </w:t>
      </w:r>
      <w:r w:rsidR="00425216">
        <w:rPr>
          <w:sz w:val="22"/>
          <w:szCs w:val="22"/>
        </w:rPr>
        <w:t>D</w:t>
      </w:r>
      <w:r w:rsidR="007C54F8">
        <w:rPr>
          <w:sz w:val="22"/>
          <w:szCs w:val="22"/>
        </w:rPr>
        <w:t>isability Advoca</w:t>
      </w:r>
      <w:r w:rsidR="008B00C5">
        <w:rPr>
          <w:sz w:val="22"/>
          <w:szCs w:val="22"/>
        </w:rPr>
        <w:t>c</w:t>
      </w:r>
      <w:r w:rsidR="007C54F8">
        <w:rPr>
          <w:sz w:val="22"/>
          <w:szCs w:val="22"/>
        </w:rPr>
        <w:t xml:space="preserve">y Service’s </w:t>
      </w:r>
      <w:r w:rsidR="00425216">
        <w:rPr>
          <w:sz w:val="22"/>
          <w:szCs w:val="22"/>
        </w:rPr>
        <w:t xml:space="preserve">guidance and </w:t>
      </w:r>
      <w:r w:rsidRPr="005B2DE1">
        <w:rPr>
          <w:sz w:val="22"/>
          <w:szCs w:val="22"/>
        </w:rPr>
        <w:t>resources available for training.</w:t>
      </w:r>
    </w:p>
    <w:p w14:paraId="0E1974EC" w14:textId="22ED6056" w:rsidR="002708DB" w:rsidRPr="005B2DE1" w:rsidRDefault="002708DB" w:rsidP="002708DB">
      <w:pPr>
        <w:pStyle w:val="HHLBodyText"/>
        <w:rPr>
          <w:sz w:val="22"/>
          <w:szCs w:val="22"/>
        </w:rPr>
      </w:pPr>
      <w:r w:rsidRPr="005B2DE1">
        <w:rPr>
          <w:sz w:val="22"/>
          <w:szCs w:val="22"/>
        </w:rPr>
        <w:t xml:space="preserve">The </w:t>
      </w:r>
      <w:r w:rsidR="002D3694" w:rsidRPr="005B2DE1">
        <w:rPr>
          <w:sz w:val="22"/>
          <w:szCs w:val="22"/>
        </w:rPr>
        <w:t>practice</w:t>
      </w:r>
      <w:r w:rsidRPr="005B2DE1">
        <w:rPr>
          <w:sz w:val="22"/>
          <w:szCs w:val="22"/>
        </w:rPr>
        <w:t xml:space="preserve"> team </w:t>
      </w:r>
      <w:r w:rsidR="00E045DF">
        <w:rPr>
          <w:sz w:val="22"/>
          <w:szCs w:val="22"/>
        </w:rPr>
        <w:t xml:space="preserve">must have </w:t>
      </w:r>
      <w:r w:rsidRPr="005B2DE1">
        <w:rPr>
          <w:sz w:val="22"/>
          <w:szCs w:val="22"/>
        </w:rPr>
        <w:t xml:space="preserve">received training to </w:t>
      </w:r>
      <w:r w:rsidR="002D3694" w:rsidRPr="005B2DE1">
        <w:rPr>
          <w:sz w:val="22"/>
          <w:szCs w:val="22"/>
        </w:rPr>
        <w:t>implement</w:t>
      </w:r>
      <w:r w:rsidRPr="005B2DE1">
        <w:rPr>
          <w:sz w:val="22"/>
          <w:szCs w:val="22"/>
        </w:rPr>
        <w:t xml:space="preserve"> the </w:t>
      </w:r>
      <w:bookmarkStart w:id="17" w:name="_Hlk4399436"/>
      <w:r w:rsidR="008E0AC0" w:rsidRPr="005B2DE1">
        <w:rPr>
          <w:sz w:val="22"/>
          <w:szCs w:val="22"/>
        </w:rPr>
        <w:t>Code of Health and Disability Services Consumers’ Rights 1996</w:t>
      </w:r>
      <w:bookmarkEnd w:id="17"/>
      <w:r w:rsidR="008E0AC0" w:rsidRPr="005B2DE1">
        <w:rPr>
          <w:sz w:val="22"/>
          <w:szCs w:val="22"/>
        </w:rPr>
        <w:t>.</w:t>
      </w:r>
    </w:p>
    <w:p w14:paraId="32D73077" w14:textId="45081F2E" w:rsidR="0029060E" w:rsidRDefault="002708DB" w:rsidP="00DC2370">
      <w:pPr>
        <w:pStyle w:val="HHLBodyText"/>
        <w:numPr>
          <w:ilvl w:val="0"/>
          <w:numId w:val="8"/>
        </w:numPr>
        <w:ind w:left="450" w:hanging="270"/>
        <w:rPr>
          <w:sz w:val="22"/>
          <w:szCs w:val="22"/>
        </w:rPr>
      </w:pPr>
      <w:r w:rsidRPr="005B2DE1">
        <w:rPr>
          <w:sz w:val="22"/>
          <w:szCs w:val="22"/>
        </w:rPr>
        <w:t xml:space="preserve">This training is required once and is to be updated either when the </w:t>
      </w:r>
      <w:r w:rsidR="008E0AC0" w:rsidRPr="005B2DE1">
        <w:rPr>
          <w:sz w:val="22"/>
          <w:szCs w:val="22"/>
        </w:rPr>
        <w:t>Code of Health and Disability Services Consumers’ Rights 1996</w:t>
      </w:r>
      <w:r w:rsidRPr="005B2DE1">
        <w:rPr>
          <w:sz w:val="22"/>
          <w:szCs w:val="22"/>
        </w:rPr>
        <w:t xml:space="preserve"> has been updated or there ha</w:t>
      </w:r>
      <w:r w:rsidR="008E0AC0" w:rsidRPr="005B2DE1">
        <w:rPr>
          <w:sz w:val="22"/>
          <w:szCs w:val="22"/>
        </w:rPr>
        <w:t>s</w:t>
      </w:r>
      <w:r w:rsidRPr="005B2DE1">
        <w:rPr>
          <w:sz w:val="22"/>
          <w:szCs w:val="22"/>
        </w:rPr>
        <w:t xml:space="preserve"> been a </w:t>
      </w:r>
      <w:r w:rsidR="008E0AC0" w:rsidRPr="005B2DE1">
        <w:rPr>
          <w:sz w:val="22"/>
          <w:szCs w:val="22"/>
        </w:rPr>
        <w:t>Code of Health and Disability Services Consumers’ Rights 1996</w:t>
      </w:r>
      <w:r w:rsidRPr="005B2DE1">
        <w:rPr>
          <w:sz w:val="22"/>
          <w:szCs w:val="22"/>
        </w:rPr>
        <w:t xml:space="preserve"> related issue</w:t>
      </w:r>
      <w:r w:rsidR="00564A77">
        <w:rPr>
          <w:sz w:val="22"/>
          <w:szCs w:val="22"/>
        </w:rPr>
        <w:t xml:space="preserve"> within your practice</w:t>
      </w:r>
      <w:r w:rsidRPr="005B2DE1">
        <w:rPr>
          <w:sz w:val="22"/>
          <w:szCs w:val="22"/>
        </w:rPr>
        <w:t>.</w:t>
      </w:r>
    </w:p>
    <w:p w14:paraId="0601D22F" w14:textId="7483DF60" w:rsidR="002708DB" w:rsidRPr="005B2DE1" w:rsidRDefault="002708DB" w:rsidP="0029060E">
      <w:pPr>
        <w:pStyle w:val="HHLBodyText"/>
        <w:rPr>
          <w:b/>
          <w:sz w:val="22"/>
          <w:szCs w:val="22"/>
        </w:rPr>
      </w:pPr>
      <w:r w:rsidRPr="005B2DE1">
        <w:rPr>
          <w:b/>
          <w:sz w:val="22"/>
          <w:szCs w:val="22"/>
        </w:rPr>
        <w:t>Guidance notes</w:t>
      </w:r>
    </w:p>
    <w:p w14:paraId="70623FB8" w14:textId="2C9A3C70" w:rsidR="00541D11" w:rsidRPr="005B2DE1" w:rsidRDefault="00CF1416" w:rsidP="00541D11">
      <w:pPr>
        <w:rPr>
          <w:color w:val="auto"/>
          <w:sz w:val="22"/>
          <w:szCs w:val="22"/>
        </w:rPr>
      </w:pPr>
      <w:hyperlink r:id="rId9" w:history="1">
        <w:r w:rsidR="00541D11" w:rsidRPr="00791535">
          <w:rPr>
            <w:rStyle w:val="Hyperlink"/>
            <w:sz w:val="22"/>
            <w:szCs w:val="22"/>
          </w:rPr>
          <w:t>The Code</w:t>
        </w:r>
      </w:hyperlink>
      <w:r w:rsidR="00541D11" w:rsidRPr="005B2DE1">
        <w:rPr>
          <w:color w:val="auto"/>
          <w:sz w:val="22"/>
          <w:szCs w:val="22"/>
        </w:rPr>
        <w:t xml:space="preserve"> can be downloaded free of charge from the </w:t>
      </w:r>
      <w:hyperlink r:id="rId10" w:history="1">
        <w:r w:rsidR="00541D11" w:rsidRPr="005B2DE1">
          <w:rPr>
            <w:color w:val="auto"/>
            <w:sz w:val="22"/>
            <w:szCs w:val="22"/>
            <w:u w:color="0000FF"/>
          </w:rPr>
          <w:t>Health and Disability Commissioner</w:t>
        </w:r>
        <w:r w:rsidR="007F3C81">
          <w:rPr>
            <w:color w:val="auto"/>
            <w:sz w:val="22"/>
            <w:szCs w:val="22"/>
            <w:u w:color="0000FF"/>
          </w:rPr>
          <w:t>’s</w:t>
        </w:r>
        <w:r w:rsidR="00541D11" w:rsidRPr="005B2DE1">
          <w:rPr>
            <w:color w:val="auto"/>
            <w:sz w:val="22"/>
            <w:szCs w:val="22"/>
            <w:u w:color="0000FF"/>
          </w:rPr>
          <w:t xml:space="preserve"> website</w:t>
        </w:r>
      </w:hyperlink>
      <w:r w:rsidR="00541D11" w:rsidRPr="005B2DE1">
        <w:rPr>
          <w:color w:val="auto"/>
          <w:sz w:val="22"/>
          <w:szCs w:val="22"/>
        </w:rPr>
        <w:t>.</w:t>
      </w:r>
    </w:p>
    <w:p w14:paraId="04335D2D" w14:textId="77777777" w:rsidR="00541D11" w:rsidRPr="005B2DE1" w:rsidRDefault="00541D11" w:rsidP="00541D11">
      <w:pPr>
        <w:rPr>
          <w:color w:val="auto"/>
          <w:sz w:val="22"/>
          <w:szCs w:val="22"/>
        </w:rPr>
      </w:pPr>
      <w:r w:rsidRPr="005B2DE1">
        <w:rPr>
          <w:color w:val="auto"/>
          <w:sz w:val="22"/>
          <w:szCs w:val="22"/>
        </w:rPr>
        <w:t xml:space="preserve">The rights of patients are: </w:t>
      </w:r>
    </w:p>
    <w:p w14:paraId="418A270B" w14:textId="5E69DB4B" w:rsidR="00541D11" w:rsidRPr="005B2DE1" w:rsidRDefault="00541D11" w:rsidP="006D11A9">
      <w:pPr>
        <w:pStyle w:val="ListParagraph"/>
        <w:numPr>
          <w:ilvl w:val="0"/>
          <w:numId w:val="9"/>
        </w:numPr>
        <w:spacing w:after="160"/>
        <w:ind w:left="567" w:hanging="567"/>
        <w:rPr>
          <w:color w:val="auto"/>
          <w:sz w:val="22"/>
          <w:szCs w:val="22"/>
        </w:rPr>
      </w:pPr>
      <w:r w:rsidRPr="005B2DE1">
        <w:rPr>
          <w:color w:val="auto"/>
          <w:sz w:val="22"/>
          <w:szCs w:val="22"/>
        </w:rPr>
        <w:t>The right to be treated with respect</w:t>
      </w:r>
    </w:p>
    <w:p w14:paraId="6C08A477" w14:textId="1E0EC4E2" w:rsidR="00541D11" w:rsidRPr="005B2DE1" w:rsidRDefault="00541D11" w:rsidP="006D11A9">
      <w:pPr>
        <w:pStyle w:val="ListParagraph"/>
        <w:numPr>
          <w:ilvl w:val="0"/>
          <w:numId w:val="9"/>
        </w:numPr>
        <w:spacing w:after="160"/>
        <w:ind w:left="567" w:hanging="567"/>
        <w:rPr>
          <w:color w:val="auto"/>
          <w:sz w:val="22"/>
          <w:szCs w:val="22"/>
        </w:rPr>
      </w:pPr>
      <w:r w:rsidRPr="005B2DE1">
        <w:rPr>
          <w:color w:val="auto"/>
          <w:sz w:val="22"/>
          <w:szCs w:val="22"/>
        </w:rPr>
        <w:t>The right to freedom from discrimination, coercion, harassment, and exploitation</w:t>
      </w:r>
    </w:p>
    <w:p w14:paraId="229A5069" w14:textId="37A3D683" w:rsidR="00541D11" w:rsidRPr="005B2DE1" w:rsidRDefault="00541D11" w:rsidP="006D11A9">
      <w:pPr>
        <w:pStyle w:val="ListParagraph"/>
        <w:numPr>
          <w:ilvl w:val="0"/>
          <w:numId w:val="9"/>
        </w:numPr>
        <w:spacing w:after="160"/>
        <w:ind w:left="567" w:hanging="567"/>
        <w:rPr>
          <w:color w:val="auto"/>
          <w:sz w:val="22"/>
          <w:szCs w:val="22"/>
        </w:rPr>
      </w:pPr>
      <w:r w:rsidRPr="005B2DE1">
        <w:rPr>
          <w:color w:val="auto"/>
          <w:sz w:val="22"/>
          <w:szCs w:val="22"/>
        </w:rPr>
        <w:t>The right to dignity and independence</w:t>
      </w:r>
    </w:p>
    <w:p w14:paraId="150B8445" w14:textId="23693336" w:rsidR="00541D11" w:rsidRPr="005B2DE1" w:rsidRDefault="00541D11" w:rsidP="006D11A9">
      <w:pPr>
        <w:pStyle w:val="ListParagraph"/>
        <w:numPr>
          <w:ilvl w:val="0"/>
          <w:numId w:val="9"/>
        </w:numPr>
        <w:spacing w:after="160"/>
        <w:ind w:left="567" w:hanging="567"/>
        <w:rPr>
          <w:color w:val="auto"/>
          <w:sz w:val="22"/>
          <w:szCs w:val="22"/>
        </w:rPr>
      </w:pPr>
      <w:r w:rsidRPr="005B2DE1">
        <w:rPr>
          <w:color w:val="auto"/>
          <w:sz w:val="22"/>
          <w:szCs w:val="22"/>
        </w:rPr>
        <w:lastRenderedPageBreak/>
        <w:t>The right to services of an appropriate standard</w:t>
      </w:r>
    </w:p>
    <w:p w14:paraId="75DE006A" w14:textId="15DE6D5F" w:rsidR="00541D11" w:rsidRPr="005B2DE1" w:rsidRDefault="00541D11" w:rsidP="006D11A9">
      <w:pPr>
        <w:pStyle w:val="ListParagraph"/>
        <w:numPr>
          <w:ilvl w:val="0"/>
          <w:numId w:val="9"/>
        </w:numPr>
        <w:spacing w:after="160"/>
        <w:ind w:left="567" w:hanging="567"/>
        <w:rPr>
          <w:color w:val="auto"/>
          <w:sz w:val="22"/>
          <w:szCs w:val="22"/>
        </w:rPr>
      </w:pPr>
      <w:r w:rsidRPr="005B2DE1">
        <w:rPr>
          <w:color w:val="auto"/>
          <w:sz w:val="22"/>
          <w:szCs w:val="22"/>
        </w:rPr>
        <w:t>The right to effective communication</w:t>
      </w:r>
    </w:p>
    <w:p w14:paraId="60C2C8EF" w14:textId="11168552" w:rsidR="00541D11" w:rsidRPr="00541D11" w:rsidRDefault="00541D11" w:rsidP="006D11A9">
      <w:pPr>
        <w:pStyle w:val="ListParagraph"/>
        <w:numPr>
          <w:ilvl w:val="0"/>
          <w:numId w:val="9"/>
        </w:numPr>
        <w:spacing w:after="160"/>
        <w:ind w:left="567" w:hanging="567"/>
        <w:rPr>
          <w:color w:val="auto"/>
          <w:sz w:val="22"/>
          <w:szCs w:val="22"/>
        </w:rPr>
      </w:pPr>
      <w:r w:rsidRPr="00541D11">
        <w:rPr>
          <w:color w:val="auto"/>
          <w:sz w:val="22"/>
          <w:szCs w:val="22"/>
        </w:rPr>
        <w:t>The right to be fully informed</w:t>
      </w:r>
    </w:p>
    <w:p w14:paraId="2BA35E5B" w14:textId="280549EC" w:rsidR="00541D11" w:rsidRPr="00541D11" w:rsidRDefault="00541D11" w:rsidP="006D11A9">
      <w:pPr>
        <w:pStyle w:val="ListParagraph"/>
        <w:numPr>
          <w:ilvl w:val="0"/>
          <w:numId w:val="9"/>
        </w:numPr>
        <w:spacing w:after="160"/>
        <w:ind w:left="567" w:hanging="567"/>
        <w:rPr>
          <w:color w:val="auto"/>
          <w:sz w:val="22"/>
          <w:szCs w:val="22"/>
        </w:rPr>
      </w:pPr>
      <w:r w:rsidRPr="00541D11">
        <w:rPr>
          <w:color w:val="auto"/>
          <w:sz w:val="22"/>
          <w:szCs w:val="22"/>
        </w:rPr>
        <w:t>The right to make an informed choice and give informed consent</w:t>
      </w:r>
    </w:p>
    <w:p w14:paraId="35678141" w14:textId="6DF19FE0" w:rsidR="00541D11" w:rsidRPr="00541D11" w:rsidRDefault="00541D11" w:rsidP="006D11A9">
      <w:pPr>
        <w:pStyle w:val="ListParagraph"/>
        <w:numPr>
          <w:ilvl w:val="0"/>
          <w:numId w:val="9"/>
        </w:numPr>
        <w:spacing w:after="160"/>
        <w:ind w:left="567" w:hanging="567"/>
        <w:rPr>
          <w:color w:val="auto"/>
          <w:sz w:val="22"/>
          <w:szCs w:val="22"/>
        </w:rPr>
      </w:pPr>
      <w:r w:rsidRPr="00541D11">
        <w:rPr>
          <w:color w:val="auto"/>
          <w:sz w:val="22"/>
          <w:szCs w:val="22"/>
        </w:rPr>
        <w:t>The right to support</w:t>
      </w:r>
    </w:p>
    <w:p w14:paraId="5ED67D4B" w14:textId="698F369B" w:rsidR="00541D11" w:rsidRPr="00541D11" w:rsidRDefault="00541D11" w:rsidP="006D11A9">
      <w:pPr>
        <w:pStyle w:val="ListParagraph"/>
        <w:numPr>
          <w:ilvl w:val="0"/>
          <w:numId w:val="9"/>
        </w:numPr>
        <w:spacing w:after="160"/>
        <w:ind w:left="567" w:hanging="567"/>
        <w:rPr>
          <w:color w:val="auto"/>
          <w:sz w:val="22"/>
          <w:szCs w:val="22"/>
        </w:rPr>
      </w:pPr>
      <w:r w:rsidRPr="00541D11">
        <w:rPr>
          <w:color w:val="auto"/>
          <w:sz w:val="22"/>
          <w:szCs w:val="22"/>
        </w:rPr>
        <w:t>Rights in respect of teaching or research</w:t>
      </w:r>
    </w:p>
    <w:p w14:paraId="6591888D" w14:textId="362EB73E" w:rsidR="00541D11" w:rsidRDefault="00541D11" w:rsidP="006D11A9">
      <w:pPr>
        <w:pStyle w:val="ListParagraph"/>
        <w:numPr>
          <w:ilvl w:val="0"/>
          <w:numId w:val="9"/>
        </w:numPr>
        <w:spacing w:after="160"/>
        <w:ind w:left="567" w:hanging="567"/>
        <w:rPr>
          <w:color w:val="auto"/>
          <w:sz w:val="22"/>
          <w:szCs w:val="22"/>
        </w:rPr>
      </w:pPr>
      <w:r w:rsidRPr="00541D11">
        <w:rPr>
          <w:color w:val="auto"/>
          <w:sz w:val="22"/>
          <w:szCs w:val="22"/>
        </w:rPr>
        <w:t>The right to complain</w:t>
      </w:r>
    </w:p>
    <w:p w14:paraId="45349110" w14:textId="1A5664C9" w:rsidR="002708DB" w:rsidRPr="006A3257" w:rsidRDefault="002708DB" w:rsidP="00541D11">
      <w:pPr>
        <w:pStyle w:val="HHLBodyText"/>
        <w:spacing w:before="240"/>
        <w:rPr>
          <w:rFonts w:cs="Arial"/>
          <w:b/>
          <w:sz w:val="22"/>
          <w:szCs w:val="22"/>
        </w:rPr>
      </w:pPr>
      <w:r w:rsidRPr="006A3257">
        <w:rPr>
          <w:b/>
          <w:sz w:val="22"/>
          <w:szCs w:val="22"/>
        </w:rPr>
        <w:t>Resources</w:t>
      </w:r>
    </w:p>
    <w:p w14:paraId="1341E906" w14:textId="58F1F699" w:rsidR="00985B40" w:rsidRPr="009D7753" w:rsidRDefault="00CF1416" w:rsidP="009D7753">
      <w:pPr>
        <w:pStyle w:val="Resourcelist"/>
        <w:spacing w:after="120"/>
        <w:rPr>
          <w:rStyle w:val="Hyperlink"/>
          <w:color w:val="0000FF"/>
        </w:rPr>
      </w:pPr>
      <w:hyperlink r:id="rId11" w:history="1">
        <w:r w:rsidR="00985B40" w:rsidRPr="009D7753">
          <w:rPr>
            <w:rStyle w:val="Hyperlink"/>
            <w:rFonts w:ascii="Arial" w:hAnsi="Arial" w:cs="Arial"/>
            <w:color w:val="0000FF"/>
          </w:rPr>
          <w:t>Health and Disability Commissioner</w:t>
        </w:r>
      </w:hyperlink>
    </w:p>
    <w:p w14:paraId="1E2D614D" w14:textId="2017223A" w:rsidR="00D4472F" w:rsidRPr="009D7753" w:rsidRDefault="00CF1416" w:rsidP="009D7753">
      <w:pPr>
        <w:pStyle w:val="Resourcelist"/>
        <w:spacing w:after="120"/>
        <w:rPr>
          <w:rStyle w:val="Hyperlink"/>
          <w:rFonts w:ascii="Arial" w:hAnsi="Arial" w:cs="Arial"/>
          <w:color w:val="0000FF"/>
        </w:rPr>
      </w:pPr>
      <w:hyperlink r:id="rId12" w:history="1">
        <w:r w:rsidR="00D4472F" w:rsidRPr="009D7753">
          <w:rPr>
            <w:rStyle w:val="Hyperlink"/>
            <w:rFonts w:ascii="Arial" w:hAnsi="Arial" w:cs="Arial"/>
            <w:color w:val="0000FF"/>
          </w:rPr>
          <w:t>Health and Disability Commissioner</w:t>
        </w:r>
        <w:r w:rsidR="00891D20" w:rsidRPr="009D7753">
          <w:rPr>
            <w:rStyle w:val="Hyperlink"/>
            <w:rFonts w:ascii="Arial" w:hAnsi="Arial" w:cs="Arial"/>
            <w:color w:val="0000FF"/>
          </w:rPr>
          <w:t>:</w:t>
        </w:r>
        <w:r w:rsidR="00D4472F" w:rsidRPr="009D7753">
          <w:rPr>
            <w:rStyle w:val="Hyperlink"/>
            <w:rFonts w:ascii="Arial" w:hAnsi="Arial" w:cs="Arial"/>
            <w:color w:val="0000FF"/>
          </w:rPr>
          <w:t xml:space="preserve"> </w:t>
        </w:r>
        <w:r w:rsidR="00795C31" w:rsidRPr="009D7753">
          <w:rPr>
            <w:rStyle w:val="Hyperlink"/>
            <w:rFonts w:ascii="Arial" w:hAnsi="Arial" w:cs="Arial"/>
            <w:color w:val="0000FF"/>
          </w:rPr>
          <w:t>F</w:t>
        </w:r>
        <w:r w:rsidR="00D4472F" w:rsidRPr="009D7753">
          <w:rPr>
            <w:rStyle w:val="Hyperlink"/>
            <w:rFonts w:ascii="Arial" w:hAnsi="Arial" w:cs="Arial"/>
            <w:color w:val="0000FF"/>
          </w:rPr>
          <w:t>ree publications</w:t>
        </w:r>
        <w:r w:rsidR="00CD4166" w:rsidRPr="009D7753">
          <w:rPr>
            <w:rStyle w:val="Hyperlink"/>
            <w:rFonts w:ascii="Arial" w:hAnsi="Arial" w:cs="Arial"/>
            <w:color w:val="0000FF"/>
          </w:rPr>
          <w:t xml:space="preserve"> (including </w:t>
        </w:r>
        <w:r w:rsidR="005A3816" w:rsidRPr="009D7753">
          <w:rPr>
            <w:rStyle w:val="Hyperlink"/>
            <w:rFonts w:ascii="Arial" w:hAnsi="Arial" w:cs="Arial"/>
            <w:color w:val="0000FF"/>
          </w:rPr>
          <w:t>the Code of Health and Disability Services Consumers’ Rights 1996)</w:t>
        </w:r>
      </w:hyperlink>
    </w:p>
    <w:p w14:paraId="3EC72A43" w14:textId="4832D6C8" w:rsidR="00791535" w:rsidRPr="009D7753" w:rsidRDefault="00CF1416" w:rsidP="009D7753">
      <w:pPr>
        <w:pStyle w:val="Resourcelist"/>
        <w:spacing w:after="120"/>
        <w:rPr>
          <w:rStyle w:val="Hyperlink"/>
          <w:rFonts w:ascii="Arial" w:hAnsi="Arial" w:cs="Arial"/>
          <w:color w:val="0000FF"/>
        </w:rPr>
      </w:pPr>
      <w:hyperlink r:id="rId13" w:history="1">
        <w:r w:rsidR="00791535" w:rsidRPr="009D7753">
          <w:rPr>
            <w:rStyle w:val="Hyperlink"/>
            <w:rFonts w:ascii="Arial" w:hAnsi="Arial" w:cs="Arial"/>
            <w:color w:val="0000FF"/>
          </w:rPr>
          <w:t>Health and Disability Commissioner</w:t>
        </w:r>
        <w:r w:rsidR="00891D20" w:rsidRPr="009D7753">
          <w:rPr>
            <w:rStyle w:val="Hyperlink"/>
            <w:rFonts w:ascii="Arial" w:hAnsi="Arial" w:cs="Arial"/>
            <w:color w:val="0000FF"/>
          </w:rPr>
          <w:t>:</w:t>
        </w:r>
        <w:r w:rsidR="00791535" w:rsidRPr="009D7753">
          <w:rPr>
            <w:rStyle w:val="Hyperlink"/>
            <w:rFonts w:ascii="Arial" w:hAnsi="Arial" w:cs="Arial"/>
            <w:color w:val="0000FF"/>
          </w:rPr>
          <w:t xml:space="preserve"> Making it Easy to Do the Right Thing</w:t>
        </w:r>
      </w:hyperlink>
    </w:p>
    <w:p w14:paraId="4A829190" w14:textId="38D31203" w:rsidR="001D3B0C" w:rsidRPr="009D7753" w:rsidRDefault="00CF1416" w:rsidP="009D7753">
      <w:pPr>
        <w:pStyle w:val="Resourcelist"/>
        <w:spacing w:after="120"/>
        <w:rPr>
          <w:rStyle w:val="Hyperlink"/>
          <w:rFonts w:ascii="Arial" w:hAnsi="Arial" w:cs="Arial"/>
          <w:color w:val="0000FF"/>
        </w:rPr>
      </w:pPr>
      <w:hyperlink r:id="rId14" w:history="1">
        <w:r w:rsidR="001D3B0C" w:rsidRPr="009D7753">
          <w:rPr>
            <w:rStyle w:val="Hyperlink"/>
            <w:rFonts w:ascii="Arial" w:hAnsi="Arial" w:cs="Arial"/>
            <w:color w:val="0000FF"/>
          </w:rPr>
          <w:t>Health and Disability Commissioner</w:t>
        </w:r>
        <w:r w:rsidR="00891D20" w:rsidRPr="009D7753">
          <w:rPr>
            <w:rStyle w:val="Hyperlink"/>
            <w:rFonts w:ascii="Arial" w:hAnsi="Arial" w:cs="Arial"/>
            <w:color w:val="0000FF"/>
          </w:rPr>
          <w:t>:</w:t>
        </w:r>
        <w:r w:rsidR="001D3B0C" w:rsidRPr="009D7753">
          <w:rPr>
            <w:rStyle w:val="Hyperlink"/>
            <w:rFonts w:ascii="Arial" w:hAnsi="Arial" w:cs="Arial"/>
            <w:color w:val="0000FF"/>
          </w:rPr>
          <w:t xml:space="preserve"> Advoca</w:t>
        </w:r>
        <w:r w:rsidR="00445D92" w:rsidRPr="009D7753">
          <w:rPr>
            <w:rStyle w:val="Hyperlink"/>
            <w:rFonts w:ascii="Arial" w:hAnsi="Arial" w:cs="Arial"/>
            <w:color w:val="0000FF"/>
          </w:rPr>
          <w:t>c</w:t>
        </w:r>
        <w:r w:rsidR="001D3B0C" w:rsidRPr="009D7753">
          <w:rPr>
            <w:rStyle w:val="Hyperlink"/>
            <w:rFonts w:ascii="Arial" w:hAnsi="Arial" w:cs="Arial"/>
            <w:color w:val="0000FF"/>
          </w:rPr>
          <w:t>y Leaflet</w:t>
        </w:r>
      </w:hyperlink>
    </w:p>
    <w:p w14:paraId="2B89E507" w14:textId="4997EB64" w:rsidR="00795C31" w:rsidRPr="009D7753" w:rsidRDefault="00CF1416" w:rsidP="009D7753">
      <w:pPr>
        <w:pStyle w:val="Resourcelist"/>
        <w:spacing w:after="120"/>
        <w:rPr>
          <w:rStyle w:val="Hyperlink"/>
          <w:rFonts w:ascii="Arial" w:hAnsi="Arial" w:cs="Arial"/>
          <w:color w:val="0000FF"/>
        </w:rPr>
      </w:pPr>
      <w:hyperlink r:id="rId15" w:history="1">
        <w:r w:rsidR="007C54F8" w:rsidRPr="009D7753">
          <w:rPr>
            <w:rStyle w:val="Hyperlink"/>
            <w:rFonts w:ascii="Arial" w:hAnsi="Arial" w:cs="Arial"/>
            <w:color w:val="0000FF"/>
          </w:rPr>
          <w:t>Nationwide Health &amp; Dis</w:t>
        </w:r>
        <w:r w:rsidR="00445D92" w:rsidRPr="009D7753">
          <w:rPr>
            <w:rStyle w:val="Hyperlink"/>
            <w:rFonts w:ascii="Arial" w:hAnsi="Arial" w:cs="Arial"/>
            <w:color w:val="0000FF"/>
          </w:rPr>
          <w:t>a</w:t>
        </w:r>
        <w:r w:rsidR="007C54F8" w:rsidRPr="009D7753">
          <w:rPr>
            <w:rStyle w:val="Hyperlink"/>
            <w:rFonts w:ascii="Arial" w:hAnsi="Arial" w:cs="Arial"/>
            <w:color w:val="0000FF"/>
          </w:rPr>
          <w:t>b</w:t>
        </w:r>
        <w:r w:rsidR="00445D92" w:rsidRPr="009D7753">
          <w:rPr>
            <w:rStyle w:val="Hyperlink"/>
            <w:rFonts w:ascii="Arial" w:hAnsi="Arial" w:cs="Arial"/>
            <w:color w:val="0000FF"/>
          </w:rPr>
          <w:t>i</w:t>
        </w:r>
        <w:r w:rsidR="007C54F8" w:rsidRPr="009D7753">
          <w:rPr>
            <w:rStyle w:val="Hyperlink"/>
            <w:rFonts w:ascii="Arial" w:hAnsi="Arial" w:cs="Arial"/>
            <w:color w:val="0000FF"/>
          </w:rPr>
          <w:t>lity Advoca</w:t>
        </w:r>
        <w:r w:rsidR="00445D92" w:rsidRPr="009D7753">
          <w:rPr>
            <w:rStyle w:val="Hyperlink"/>
            <w:rFonts w:ascii="Arial" w:hAnsi="Arial" w:cs="Arial"/>
            <w:color w:val="0000FF"/>
          </w:rPr>
          <w:t>c</w:t>
        </w:r>
        <w:r w:rsidR="007C54F8" w:rsidRPr="009D7753">
          <w:rPr>
            <w:rStyle w:val="Hyperlink"/>
            <w:rFonts w:ascii="Arial" w:hAnsi="Arial" w:cs="Arial"/>
            <w:color w:val="0000FF"/>
          </w:rPr>
          <w:t>y Service</w:t>
        </w:r>
        <w:r w:rsidR="00891D20" w:rsidRPr="009D7753">
          <w:rPr>
            <w:rStyle w:val="Hyperlink"/>
            <w:rFonts w:ascii="Arial" w:hAnsi="Arial" w:cs="Arial"/>
            <w:color w:val="0000FF"/>
          </w:rPr>
          <w:t>:</w:t>
        </w:r>
        <w:r w:rsidR="00445D92" w:rsidRPr="009D7753">
          <w:rPr>
            <w:rStyle w:val="Hyperlink"/>
            <w:rFonts w:ascii="Arial" w:hAnsi="Arial" w:cs="Arial"/>
            <w:color w:val="0000FF"/>
          </w:rPr>
          <w:t xml:space="preserve"> Advocacy Service education and resources</w:t>
        </w:r>
      </w:hyperlink>
    </w:p>
    <w:p w14:paraId="6CC94F8A" w14:textId="5A3F155D" w:rsidR="00445D92" w:rsidRPr="009D7753" w:rsidRDefault="00CF1416" w:rsidP="009D7753">
      <w:pPr>
        <w:pStyle w:val="Resourcelist"/>
        <w:spacing w:after="120"/>
        <w:rPr>
          <w:rStyle w:val="Hyperlink"/>
          <w:rFonts w:ascii="Arial" w:hAnsi="Arial" w:cs="Arial"/>
          <w:color w:val="0000FF"/>
        </w:rPr>
      </w:pPr>
      <w:hyperlink r:id="rId16" w:history="1">
        <w:r w:rsidR="00445D92" w:rsidRPr="009D7753">
          <w:rPr>
            <w:rStyle w:val="Hyperlink"/>
            <w:rFonts w:ascii="Arial" w:hAnsi="Arial" w:cs="Arial"/>
            <w:color w:val="0000FF"/>
          </w:rPr>
          <w:t>Nationwide Health &amp; Disability Advocacy Service</w:t>
        </w:r>
        <w:r w:rsidR="00891D20" w:rsidRPr="009D7753">
          <w:rPr>
            <w:rStyle w:val="Hyperlink"/>
            <w:rFonts w:ascii="Arial" w:hAnsi="Arial" w:cs="Arial"/>
            <w:color w:val="0000FF"/>
          </w:rPr>
          <w:t>:</w:t>
        </w:r>
        <w:r w:rsidR="00445D92" w:rsidRPr="009D7753">
          <w:rPr>
            <w:rStyle w:val="Hyperlink"/>
            <w:rFonts w:ascii="Arial" w:hAnsi="Arial" w:cs="Arial"/>
            <w:color w:val="0000FF"/>
          </w:rPr>
          <w:t xml:space="preserve"> </w:t>
        </w:r>
        <w:r w:rsidR="00686B8F" w:rsidRPr="009D7753">
          <w:rPr>
            <w:rStyle w:val="Hyperlink"/>
            <w:rFonts w:ascii="Arial" w:hAnsi="Arial" w:cs="Arial"/>
            <w:color w:val="0000FF"/>
          </w:rPr>
          <w:t>Arranging for an advocate to provide an education or a rights promotion session</w:t>
        </w:r>
      </w:hyperlink>
    </w:p>
    <w:p w14:paraId="02553D77" w14:textId="07B582AE" w:rsidR="00B11032" w:rsidRPr="009D7753" w:rsidRDefault="00CF1416" w:rsidP="009D7753">
      <w:pPr>
        <w:pStyle w:val="Resourcelist"/>
        <w:spacing w:after="120"/>
        <w:rPr>
          <w:rStyle w:val="Hyperlink"/>
          <w:rFonts w:ascii="Arial" w:hAnsi="Arial" w:cs="Arial"/>
          <w:color w:val="0000FF"/>
        </w:rPr>
      </w:pPr>
      <w:hyperlink r:id="rId17" w:history="1">
        <w:r w:rsidR="00B11032" w:rsidRPr="009D7753">
          <w:rPr>
            <w:rStyle w:val="Hyperlink"/>
            <w:rFonts w:ascii="Arial" w:hAnsi="Arial" w:cs="Arial"/>
            <w:color w:val="0000FF"/>
          </w:rPr>
          <w:t>Health Navigator New Zealand</w:t>
        </w:r>
        <w:r w:rsidR="00891D20" w:rsidRPr="009D7753">
          <w:rPr>
            <w:rStyle w:val="Hyperlink"/>
            <w:rFonts w:ascii="Arial" w:hAnsi="Arial" w:cs="Arial"/>
            <w:color w:val="0000FF"/>
          </w:rPr>
          <w:t>:</w:t>
        </w:r>
        <w:r w:rsidR="00B11032" w:rsidRPr="009D7753">
          <w:rPr>
            <w:rStyle w:val="Hyperlink"/>
            <w:rFonts w:ascii="Arial" w:hAnsi="Arial" w:cs="Arial"/>
            <w:color w:val="0000FF"/>
          </w:rPr>
          <w:t xml:space="preserve"> Interpreter services</w:t>
        </w:r>
      </w:hyperlink>
    </w:p>
    <w:p w14:paraId="1B23A545" w14:textId="44AE422A" w:rsidR="00B11032" w:rsidRPr="009D7753" w:rsidRDefault="00CF1416" w:rsidP="009D7753">
      <w:pPr>
        <w:pStyle w:val="Resourcelist"/>
        <w:spacing w:after="120"/>
        <w:rPr>
          <w:rStyle w:val="Hyperlink"/>
          <w:rFonts w:ascii="Arial" w:hAnsi="Arial" w:cs="Arial"/>
          <w:color w:val="0000FF"/>
        </w:rPr>
      </w:pPr>
      <w:hyperlink r:id="rId18" w:history="1">
        <w:r w:rsidR="00B11032" w:rsidRPr="009D7753">
          <w:rPr>
            <w:rStyle w:val="Hyperlink"/>
            <w:rFonts w:ascii="Arial" w:hAnsi="Arial" w:cs="Arial"/>
            <w:color w:val="0000FF"/>
          </w:rPr>
          <w:t>Health Navigator New Zealand</w:t>
        </w:r>
        <w:r w:rsidR="00891D20" w:rsidRPr="009D7753">
          <w:rPr>
            <w:rStyle w:val="Hyperlink"/>
            <w:rFonts w:ascii="Arial" w:hAnsi="Arial" w:cs="Arial"/>
            <w:color w:val="0000FF"/>
          </w:rPr>
          <w:t>:</w:t>
        </w:r>
        <w:r w:rsidR="00B11032" w:rsidRPr="009D7753">
          <w:rPr>
            <w:rStyle w:val="Hyperlink"/>
            <w:rFonts w:ascii="Arial" w:hAnsi="Arial" w:cs="Arial"/>
            <w:color w:val="0000FF"/>
          </w:rPr>
          <w:t xml:space="preserve"> NZ Sign Language Interpreters</w:t>
        </w:r>
      </w:hyperlink>
    </w:p>
    <w:p w14:paraId="253248FC" w14:textId="188DA516" w:rsidR="00795C31" w:rsidRPr="009D7753" w:rsidRDefault="00CF1416" w:rsidP="009D7753">
      <w:pPr>
        <w:pStyle w:val="Resourcelist"/>
        <w:spacing w:after="120"/>
        <w:rPr>
          <w:rStyle w:val="Hyperlink"/>
          <w:rFonts w:ascii="Arial" w:hAnsi="Arial" w:cs="Arial"/>
          <w:color w:val="0000FF"/>
        </w:rPr>
      </w:pPr>
      <w:hyperlink r:id="rId19" w:history="1">
        <w:r w:rsidR="00795C31" w:rsidRPr="009D7753">
          <w:rPr>
            <w:rStyle w:val="Hyperlink"/>
            <w:rFonts w:ascii="Arial" w:hAnsi="Arial" w:cs="Arial"/>
            <w:color w:val="0000FF"/>
          </w:rPr>
          <w:t>Office for Disability Issues</w:t>
        </w:r>
        <w:r w:rsidR="00891D20" w:rsidRPr="009D7753">
          <w:rPr>
            <w:rStyle w:val="Hyperlink"/>
            <w:rFonts w:ascii="Arial" w:hAnsi="Arial" w:cs="Arial"/>
            <w:color w:val="0000FF"/>
          </w:rPr>
          <w:t>:</w:t>
        </w:r>
        <w:r w:rsidR="00795C31" w:rsidRPr="009D7753">
          <w:rPr>
            <w:rStyle w:val="Hyperlink"/>
            <w:rFonts w:ascii="Arial" w:hAnsi="Arial" w:cs="Arial"/>
            <w:color w:val="0000FF"/>
          </w:rPr>
          <w:t xml:space="preserve"> Guidance and resources</w:t>
        </w:r>
      </w:hyperlink>
    </w:p>
    <w:p w14:paraId="66E725ED" w14:textId="470363EB" w:rsidR="00691705" w:rsidRPr="009D7753" w:rsidRDefault="00CF1416" w:rsidP="009D7753">
      <w:pPr>
        <w:pStyle w:val="Resourcelist"/>
        <w:spacing w:after="120"/>
        <w:rPr>
          <w:rStyle w:val="Hyperlink"/>
          <w:rFonts w:ascii="Arial" w:hAnsi="Arial" w:cs="Arial"/>
          <w:color w:val="0000FF"/>
        </w:rPr>
      </w:pPr>
      <w:hyperlink r:id="rId20" w:history="1">
        <w:r w:rsidR="00691705" w:rsidRPr="009D7753">
          <w:rPr>
            <w:rStyle w:val="Hyperlink"/>
            <w:rFonts w:ascii="Arial" w:hAnsi="Arial" w:cs="Arial"/>
            <w:color w:val="0000FF"/>
          </w:rPr>
          <w:t>Office for Disability Issues</w:t>
        </w:r>
        <w:r w:rsidR="00891D20" w:rsidRPr="009D7753">
          <w:rPr>
            <w:rStyle w:val="Hyperlink"/>
            <w:rFonts w:ascii="Arial" w:hAnsi="Arial" w:cs="Arial"/>
            <w:color w:val="0000FF"/>
          </w:rPr>
          <w:t>:</w:t>
        </w:r>
        <w:r w:rsidR="00691705" w:rsidRPr="009D7753">
          <w:rPr>
            <w:rStyle w:val="Hyperlink"/>
            <w:rFonts w:ascii="Arial" w:hAnsi="Arial" w:cs="Arial"/>
            <w:color w:val="0000FF"/>
          </w:rPr>
          <w:t xml:space="preserve"> Disability Etiquette</w:t>
        </w:r>
      </w:hyperlink>
    </w:p>
    <w:p w14:paraId="06FD6851" w14:textId="3C6F15B0" w:rsidR="00686B8F" w:rsidRPr="009D7753" w:rsidRDefault="00CF1416" w:rsidP="009D7753">
      <w:pPr>
        <w:pStyle w:val="Resourcelist"/>
        <w:spacing w:after="120"/>
        <w:rPr>
          <w:rStyle w:val="Hyperlink"/>
          <w:rFonts w:ascii="Arial" w:hAnsi="Arial" w:cs="Arial"/>
          <w:color w:val="0000FF"/>
        </w:rPr>
      </w:pPr>
      <w:hyperlink r:id="rId21" w:history="1">
        <w:r w:rsidR="00795C31" w:rsidRPr="009D7753">
          <w:rPr>
            <w:rStyle w:val="Hyperlink"/>
            <w:rFonts w:ascii="Arial" w:hAnsi="Arial" w:cs="Arial"/>
            <w:color w:val="0000FF"/>
          </w:rPr>
          <w:t>Office for Disability Issues</w:t>
        </w:r>
        <w:r w:rsidR="00891D20" w:rsidRPr="009D7753">
          <w:rPr>
            <w:rStyle w:val="Hyperlink"/>
            <w:rFonts w:ascii="Arial" w:hAnsi="Arial" w:cs="Arial"/>
            <w:color w:val="0000FF"/>
          </w:rPr>
          <w:t>:</w:t>
        </w:r>
        <w:r w:rsidR="00795C31" w:rsidRPr="009D7753">
          <w:rPr>
            <w:rStyle w:val="Hyperlink"/>
            <w:rFonts w:ascii="Arial" w:hAnsi="Arial" w:cs="Arial"/>
            <w:color w:val="0000FF"/>
          </w:rPr>
          <w:t xml:space="preserve"> Be. Accessible Business Toolkit</w:t>
        </w:r>
      </w:hyperlink>
    </w:p>
    <w:p w14:paraId="06B8BBB7" w14:textId="594D5687" w:rsidR="006079C8" w:rsidRDefault="006079C8" w:rsidP="00940548">
      <w:pPr>
        <w:pStyle w:val="Resourcelist"/>
        <w:ind w:left="568"/>
        <w:rPr>
          <w:b/>
          <w:color w:val="EE7624"/>
          <w:sz w:val="26"/>
        </w:rPr>
      </w:pPr>
      <w:r>
        <w:br w:type="page"/>
      </w:r>
    </w:p>
    <w:p w14:paraId="3D02A67C" w14:textId="0E979182" w:rsidR="00BA3ECD" w:rsidRDefault="002E71B3" w:rsidP="006D11A9">
      <w:pPr>
        <w:pStyle w:val="HHLSubHeading"/>
        <w:numPr>
          <w:ilvl w:val="0"/>
          <w:numId w:val="0"/>
        </w:numPr>
        <w:tabs>
          <w:tab w:val="left" w:pos="1560"/>
        </w:tabs>
      </w:pPr>
      <w:bookmarkStart w:id="18" w:name="_Toc6998655"/>
      <w:r w:rsidRPr="00902640">
        <w:lastRenderedPageBreak/>
        <w:t xml:space="preserve">Indicator </w:t>
      </w:r>
      <w:r>
        <w:t>2</w:t>
      </w:r>
      <w:r w:rsidRPr="00902640">
        <w:t>.</w:t>
      </w:r>
      <w:r w:rsidR="00BA3ECD">
        <w:t xml:space="preserve"> </w:t>
      </w:r>
      <w:r w:rsidR="006D11A9">
        <w:tab/>
      </w:r>
      <w:r w:rsidR="00BA3ECD">
        <w:t>Open Disclosur</w:t>
      </w:r>
      <w:r w:rsidR="005A276A">
        <w:t>e</w:t>
      </w:r>
      <w:bookmarkEnd w:id="18"/>
      <w:r w:rsidRPr="005A276A">
        <w:rPr>
          <w:color w:val="FF0000"/>
        </w:rPr>
        <w:t xml:space="preserve"> </w:t>
      </w:r>
    </w:p>
    <w:p w14:paraId="56DFA8EE" w14:textId="4C06D412" w:rsidR="00BD10EC" w:rsidRPr="00BA3ECD" w:rsidRDefault="002E71B3" w:rsidP="00BA3ECD">
      <w:pPr>
        <w:pStyle w:val="HHLBodyText"/>
        <w:rPr>
          <w:b/>
        </w:rPr>
      </w:pPr>
      <w:r w:rsidRPr="00BA3ECD">
        <w:rPr>
          <w:b/>
        </w:rPr>
        <w:t>Our practice has and applies an open disclosure policy and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41"/>
        <w:gridCol w:w="4050"/>
      </w:tblGrid>
      <w:tr w:rsidR="002E71B3" w:rsidRPr="002E71B3" w14:paraId="6B1B1920" w14:textId="77777777" w:rsidTr="00831A94">
        <w:tc>
          <w:tcPr>
            <w:tcW w:w="1153" w:type="dxa"/>
            <w:shd w:val="clear" w:color="auto" w:fill="FBD4B4" w:themeFill="accent6" w:themeFillTint="66"/>
          </w:tcPr>
          <w:p w14:paraId="437E9773" w14:textId="77777777" w:rsidR="002E71B3" w:rsidRPr="002E71B3" w:rsidRDefault="002E71B3" w:rsidP="002E71B3">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6A84EAFF" w14:textId="77777777" w:rsidR="002E71B3" w:rsidRPr="002E71B3" w:rsidRDefault="002E71B3" w:rsidP="002E71B3">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083818C6" w14:textId="1B68D5FC" w:rsidR="002E71B3" w:rsidRPr="002E71B3" w:rsidRDefault="002E71B3" w:rsidP="002E71B3">
            <w:pPr>
              <w:spacing w:before="120" w:after="120"/>
              <w:rPr>
                <w:b/>
                <w:color w:val="auto"/>
                <w:sz w:val="22"/>
                <w:szCs w:val="22"/>
              </w:rPr>
            </w:pPr>
            <w:r w:rsidRPr="002E71B3">
              <w:rPr>
                <w:b/>
                <w:color w:val="auto"/>
                <w:sz w:val="22"/>
                <w:szCs w:val="22"/>
              </w:rPr>
              <w:t>Required evidence</w:t>
            </w:r>
          </w:p>
        </w:tc>
      </w:tr>
      <w:tr w:rsidR="002E71B3" w:rsidRPr="002E71B3" w14:paraId="3FCD5356" w14:textId="77777777" w:rsidTr="00831A94">
        <w:tc>
          <w:tcPr>
            <w:tcW w:w="1153" w:type="dxa"/>
          </w:tcPr>
          <w:p w14:paraId="099FDF7B" w14:textId="168D3008" w:rsidR="002E71B3" w:rsidRPr="002E71B3" w:rsidRDefault="001C26DB" w:rsidP="002E71B3">
            <w:pPr>
              <w:spacing w:before="60"/>
              <w:rPr>
                <w:color w:val="auto"/>
                <w:sz w:val="22"/>
                <w:szCs w:val="22"/>
              </w:rPr>
            </w:pPr>
            <w:r>
              <w:rPr>
                <w:color w:val="auto"/>
                <w:sz w:val="22"/>
                <w:szCs w:val="22"/>
              </w:rPr>
              <w:t>2</w:t>
            </w:r>
            <w:r w:rsidR="002E71B3" w:rsidRPr="002E71B3">
              <w:rPr>
                <w:color w:val="auto"/>
                <w:sz w:val="22"/>
                <w:szCs w:val="22"/>
              </w:rPr>
              <w:t>.1</w:t>
            </w:r>
          </w:p>
        </w:tc>
        <w:tc>
          <w:tcPr>
            <w:tcW w:w="4568" w:type="dxa"/>
          </w:tcPr>
          <w:p w14:paraId="554D3917" w14:textId="0C40B981" w:rsidR="002E71B3" w:rsidRPr="002E71B3" w:rsidRDefault="00974296" w:rsidP="002E71B3">
            <w:pPr>
              <w:spacing w:before="60"/>
              <w:rPr>
                <w:color w:val="auto"/>
                <w:sz w:val="22"/>
                <w:szCs w:val="22"/>
              </w:rPr>
            </w:pPr>
            <w:r>
              <w:rPr>
                <w:color w:val="auto"/>
                <w:sz w:val="22"/>
                <w:szCs w:val="22"/>
              </w:rPr>
              <w:t>Acknowledge and implement</w:t>
            </w:r>
            <w:r w:rsidRPr="004C61CD">
              <w:rPr>
                <w:color w:val="auto"/>
                <w:sz w:val="22"/>
                <w:szCs w:val="22"/>
              </w:rPr>
              <w:t xml:space="preserve"> </w:t>
            </w:r>
            <w:r w:rsidR="004C61CD" w:rsidRPr="004C61CD">
              <w:rPr>
                <w:color w:val="auto"/>
                <w:sz w:val="22"/>
                <w:szCs w:val="22"/>
              </w:rPr>
              <w:t xml:space="preserve">the open disclosure </w:t>
            </w:r>
            <w:r w:rsidR="00395853">
              <w:rPr>
                <w:color w:val="auto"/>
                <w:sz w:val="22"/>
                <w:szCs w:val="22"/>
              </w:rPr>
              <w:t xml:space="preserve">guidance </w:t>
            </w:r>
            <w:r w:rsidR="004C61CD" w:rsidRPr="004C61CD">
              <w:rPr>
                <w:color w:val="auto"/>
                <w:sz w:val="22"/>
                <w:szCs w:val="22"/>
              </w:rPr>
              <w:t>provide</w:t>
            </w:r>
            <w:r w:rsidR="00395853">
              <w:rPr>
                <w:color w:val="auto"/>
                <w:sz w:val="22"/>
                <w:szCs w:val="22"/>
              </w:rPr>
              <w:t>d</w:t>
            </w:r>
            <w:r w:rsidR="004C61CD" w:rsidRPr="004C61CD">
              <w:rPr>
                <w:color w:val="auto"/>
                <w:sz w:val="22"/>
                <w:szCs w:val="22"/>
              </w:rPr>
              <w:t xml:space="preserve"> by the H</w:t>
            </w:r>
            <w:r w:rsidR="004C61CD">
              <w:rPr>
                <w:color w:val="auto"/>
                <w:sz w:val="22"/>
                <w:szCs w:val="22"/>
              </w:rPr>
              <w:t xml:space="preserve">ealth and </w:t>
            </w:r>
            <w:r w:rsidR="004C61CD" w:rsidRPr="004C61CD">
              <w:rPr>
                <w:color w:val="auto"/>
                <w:sz w:val="22"/>
                <w:szCs w:val="22"/>
              </w:rPr>
              <w:t>D</w:t>
            </w:r>
            <w:r w:rsidR="004C61CD">
              <w:rPr>
                <w:color w:val="auto"/>
                <w:sz w:val="22"/>
                <w:szCs w:val="22"/>
              </w:rPr>
              <w:t xml:space="preserve">isability </w:t>
            </w:r>
            <w:r w:rsidR="004C61CD" w:rsidRPr="004C61CD">
              <w:rPr>
                <w:color w:val="auto"/>
                <w:sz w:val="22"/>
                <w:szCs w:val="22"/>
              </w:rPr>
              <w:t>C</w:t>
            </w:r>
            <w:r w:rsidR="004C61CD">
              <w:rPr>
                <w:color w:val="auto"/>
                <w:sz w:val="22"/>
                <w:szCs w:val="22"/>
              </w:rPr>
              <w:t>ommission</w:t>
            </w:r>
            <w:r w:rsidR="0013598D">
              <w:rPr>
                <w:color w:val="auto"/>
                <w:sz w:val="22"/>
                <w:szCs w:val="22"/>
              </w:rPr>
              <w:t>er</w:t>
            </w:r>
            <w:r w:rsidR="004C61CD" w:rsidRPr="004C61CD">
              <w:rPr>
                <w:color w:val="auto"/>
                <w:sz w:val="22"/>
                <w:szCs w:val="22"/>
              </w:rPr>
              <w:t>.</w:t>
            </w:r>
          </w:p>
        </w:tc>
        <w:tc>
          <w:tcPr>
            <w:tcW w:w="4075" w:type="dxa"/>
          </w:tcPr>
          <w:p w14:paraId="4FC08D56" w14:textId="43A54DC6" w:rsidR="000A6069" w:rsidRPr="000A6069" w:rsidRDefault="000A6069" w:rsidP="004129DF">
            <w:pPr>
              <w:pStyle w:val="ListParagraph"/>
              <w:spacing w:before="60"/>
              <w:ind w:left="0"/>
              <w:contextualSpacing w:val="0"/>
              <w:rPr>
                <w:color w:val="auto"/>
                <w:sz w:val="22"/>
                <w:szCs w:val="22"/>
              </w:rPr>
            </w:pPr>
            <w:r w:rsidRPr="000A6069">
              <w:rPr>
                <w:color w:val="auto"/>
                <w:sz w:val="22"/>
                <w:szCs w:val="22"/>
              </w:rPr>
              <w:t xml:space="preserve">A documented </w:t>
            </w:r>
            <w:r w:rsidR="00A17AB9">
              <w:rPr>
                <w:color w:val="auto"/>
                <w:sz w:val="22"/>
                <w:szCs w:val="22"/>
              </w:rPr>
              <w:t>O</w:t>
            </w:r>
            <w:r w:rsidRPr="000A6069">
              <w:rPr>
                <w:color w:val="auto"/>
                <w:sz w:val="22"/>
                <w:szCs w:val="22"/>
              </w:rPr>
              <w:t xml:space="preserve">pen </w:t>
            </w:r>
            <w:r w:rsidR="00A17AB9">
              <w:rPr>
                <w:color w:val="auto"/>
                <w:sz w:val="22"/>
                <w:szCs w:val="22"/>
              </w:rPr>
              <w:t>D</w:t>
            </w:r>
            <w:r w:rsidRPr="000A6069">
              <w:rPr>
                <w:color w:val="auto"/>
                <w:sz w:val="22"/>
                <w:szCs w:val="22"/>
              </w:rPr>
              <w:t xml:space="preserve">isclosure </w:t>
            </w:r>
            <w:r w:rsidR="00A17AB9">
              <w:rPr>
                <w:color w:val="auto"/>
                <w:sz w:val="22"/>
                <w:szCs w:val="22"/>
              </w:rPr>
              <w:t>P</w:t>
            </w:r>
            <w:r w:rsidRPr="000A6069">
              <w:rPr>
                <w:color w:val="auto"/>
                <w:sz w:val="22"/>
                <w:szCs w:val="22"/>
              </w:rPr>
              <w:t xml:space="preserve">olicy and </w:t>
            </w:r>
            <w:r w:rsidR="00A17AB9">
              <w:rPr>
                <w:color w:val="auto"/>
                <w:sz w:val="22"/>
                <w:szCs w:val="22"/>
              </w:rPr>
              <w:t>P</w:t>
            </w:r>
            <w:r w:rsidRPr="000A6069">
              <w:rPr>
                <w:color w:val="auto"/>
                <w:sz w:val="22"/>
                <w:szCs w:val="22"/>
              </w:rPr>
              <w:t>rocedure</w:t>
            </w:r>
            <w:r w:rsidR="00366FCE">
              <w:rPr>
                <w:color w:val="auto"/>
                <w:sz w:val="22"/>
                <w:szCs w:val="22"/>
              </w:rPr>
              <w:t>.</w:t>
            </w:r>
          </w:p>
          <w:p w14:paraId="5F9705FB" w14:textId="26B4945F" w:rsidR="002E71B3" w:rsidRPr="002E71B3" w:rsidRDefault="000A6069" w:rsidP="004129DF">
            <w:pPr>
              <w:pStyle w:val="ListParagraph"/>
              <w:spacing w:before="60"/>
              <w:ind w:left="0"/>
              <w:contextualSpacing w:val="0"/>
              <w:rPr>
                <w:color w:val="auto"/>
                <w:sz w:val="22"/>
                <w:szCs w:val="22"/>
              </w:rPr>
            </w:pPr>
            <w:r>
              <w:rPr>
                <w:color w:val="auto"/>
                <w:sz w:val="22"/>
                <w:szCs w:val="22"/>
              </w:rPr>
              <w:t>E</w:t>
            </w:r>
            <w:r w:rsidRPr="004C61CD">
              <w:rPr>
                <w:color w:val="auto"/>
                <w:sz w:val="22"/>
                <w:szCs w:val="22"/>
              </w:rPr>
              <w:t>xamples of disclosure</w:t>
            </w:r>
            <w:r>
              <w:rPr>
                <w:color w:val="auto"/>
                <w:sz w:val="22"/>
                <w:szCs w:val="22"/>
              </w:rPr>
              <w:t>s</w:t>
            </w:r>
            <w:r w:rsidRPr="004C61CD">
              <w:rPr>
                <w:color w:val="auto"/>
                <w:sz w:val="22"/>
                <w:szCs w:val="22"/>
              </w:rPr>
              <w:t xml:space="preserve"> having been made </w:t>
            </w:r>
            <w:r w:rsidR="00974296">
              <w:rPr>
                <w:color w:val="auto"/>
                <w:sz w:val="22"/>
                <w:szCs w:val="22"/>
              </w:rPr>
              <w:t>with</w:t>
            </w:r>
            <w:r w:rsidR="00974296" w:rsidRPr="004C61CD">
              <w:rPr>
                <w:color w:val="auto"/>
                <w:sz w:val="22"/>
                <w:szCs w:val="22"/>
              </w:rPr>
              <w:t xml:space="preserve"> </w:t>
            </w:r>
            <w:r w:rsidRPr="004C61CD">
              <w:rPr>
                <w:color w:val="auto"/>
                <w:sz w:val="22"/>
                <w:szCs w:val="22"/>
              </w:rPr>
              <w:t xml:space="preserve">patients in line with </w:t>
            </w:r>
            <w:r w:rsidR="00974296">
              <w:rPr>
                <w:color w:val="auto"/>
                <w:sz w:val="22"/>
                <w:szCs w:val="22"/>
              </w:rPr>
              <w:t xml:space="preserve">the </w:t>
            </w:r>
            <w:r w:rsidRPr="004C61CD">
              <w:rPr>
                <w:color w:val="auto"/>
                <w:sz w:val="22"/>
                <w:szCs w:val="22"/>
              </w:rPr>
              <w:t>policy</w:t>
            </w:r>
            <w:r>
              <w:rPr>
                <w:color w:val="auto"/>
                <w:sz w:val="22"/>
                <w:szCs w:val="22"/>
              </w:rPr>
              <w:t>.</w:t>
            </w:r>
          </w:p>
        </w:tc>
      </w:tr>
    </w:tbl>
    <w:p w14:paraId="0C3BC7F7" w14:textId="6F8C0D93" w:rsidR="00831A94" w:rsidRDefault="00831A94" w:rsidP="005F5092">
      <w:pPr>
        <w:pStyle w:val="HHLBodyText"/>
        <w:spacing w:before="240"/>
        <w:rPr>
          <w:b/>
          <w:sz w:val="22"/>
          <w:szCs w:val="22"/>
        </w:rPr>
      </w:pPr>
      <w:bookmarkStart w:id="19" w:name="_Hlk4399985"/>
      <w:r w:rsidRPr="00831A94">
        <w:rPr>
          <w:b/>
          <w:sz w:val="22"/>
          <w:szCs w:val="22"/>
        </w:rPr>
        <w:t>Required training</w:t>
      </w:r>
    </w:p>
    <w:p w14:paraId="6AF1B07E" w14:textId="159CE1D8" w:rsidR="00545E25" w:rsidRPr="00EF0A0E" w:rsidRDefault="00E91681" w:rsidP="003B21E2">
      <w:pPr>
        <w:pStyle w:val="HHLBodyText"/>
        <w:spacing w:before="0"/>
        <w:rPr>
          <w:sz w:val="22"/>
          <w:szCs w:val="22"/>
        </w:rPr>
      </w:pPr>
      <w:bookmarkStart w:id="20" w:name="_Hlk4507667"/>
      <w:r w:rsidRPr="00EF0A0E">
        <w:rPr>
          <w:sz w:val="22"/>
          <w:szCs w:val="22"/>
        </w:rPr>
        <w:t xml:space="preserve">The practice can </w:t>
      </w:r>
      <w:r w:rsidR="00C412BE">
        <w:rPr>
          <w:sz w:val="22"/>
          <w:szCs w:val="22"/>
        </w:rPr>
        <w:t>self</w:t>
      </w:r>
      <w:r w:rsidR="00B05F5A">
        <w:rPr>
          <w:sz w:val="22"/>
          <w:szCs w:val="22"/>
        </w:rPr>
        <w:t>-</w:t>
      </w:r>
      <w:r w:rsidRPr="00EF0A0E">
        <w:rPr>
          <w:sz w:val="22"/>
          <w:szCs w:val="22"/>
        </w:rPr>
        <w:t xml:space="preserve">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w:t>
      </w:r>
      <w:r w:rsidR="00C412BE">
        <w:rPr>
          <w:sz w:val="22"/>
          <w:szCs w:val="22"/>
        </w:rPr>
        <w:t>is</w:t>
      </w:r>
      <w:r w:rsidRPr="00EF0A0E">
        <w:rPr>
          <w:sz w:val="22"/>
          <w:szCs w:val="22"/>
        </w:rPr>
        <w:t xml:space="preserve"> Indicator and </w:t>
      </w:r>
      <w:r w:rsidR="00CC7B32">
        <w:rPr>
          <w:sz w:val="22"/>
          <w:szCs w:val="22"/>
        </w:rPr>
        <w:t>C</w:t>
      </w:r>
      <w:r w:rsidRPr="00EF0A0E">
        <w:rPr>
          <w:sz w:val="22"/>
          <w:szCs w:val="22"/>
        </w:rPr>
        <w:t>riteria.</w:t>
      </w:r>
    </w:p>
    <w:bookmarkEnd w:id="20"/>
    <w:p w14:paraId="3D2069C5" w14:textId="768E54DE" w:rsidR="005F5092" w:rsidRPr="005B2DE1" w:rsidRDefault="005F5092" w:rsidP="00B05F5A">
      <w:pPr>
        <w:pStyle w:val="HHLBodyText"/>
        <w:spacing w:before="240"/>
        <w:rPr>
          <w:b/>
          <w:sz w:val="22"/>
          <w:szCs w:val="22"/>
        </w:rPr>
      </w:pPr>
      <w:r w:rsidRPr="005B2DE1">
        <w:rPr>
          <w:b/>
          <w:sz w:val="22"/>
          <w:szCs w:val="22"/>
        </w:rPr>
        <w:t>Guidance notes</w:t>
      </w:r>
    </w:p>
    <w:bookmarkEnd w:id="19"/>
    <w:p w14:paraId="789F23BD" w14:textId="06EBDCA3" w:rsidR="006079C8" w:rsidRPr="005F5092" w:rsidRDefault="00B05F5A" w:rsidP="006079C8">
      <w:pPr>
        <w:rPr>
          <w:color w:val="auto"/>
          <w:sz w:val="22"/>
          <w:szCs w:val="22"/>
        </w:rPr>
      </w:pPr>
      <w:r>
        <w:rPr>
          <w:color w:val="auto"/>
          <w:sz w:val="22"/>
          <w:szCs w:val="22"/>
        </w:rPr>
        <w:t>The practice team</w:t>
      </w:r>
      <w:r w:rsidRPr="005F5092">
        <w:rPr>
          <w:color w:val="auto"/>
          <w:sz w:val="22"/>
          <w:szCs w:val="22"/>
        </w:rPr>
        <w:t xml:space="preserve"> </w:t>
      </w:r>
      <w:r w:rsidR="006079C8" w:rsidRPr="005F5092">
        <w:rPr>
          <w:color w:val="auto"/>
          <w:sz w:val="22"/>
          <w:szCs w:val="22"/>
        </w:rPr>
        <w:t xml:space="preserve">should consider how you manage your open disclosure obligations. The Health and Disability Commissioner has </w:t>
      </w:r>
      <w:r w:rsidR="00AD2485">
        <w:rPr>
          <w:color w:val="auto"/>
          <w:sz w:val="22"/>
          <w:szCs w:val="22"/>
        </w:rPr>
        <w:t>developed guidance on open disclosure policies</w:t>
      </w:r>
      <w:r>
        <w:rPr>
          <w:color w:val="auto"/>
          <w:sz w:val="22"/>
          <w:szCs w:val="22"/>
        </w:rPr>
        <w:t>.</w:t>
      </w:r>
    </w:p>
    <w:p w14:paraId="0B1CA1D2" w14:textId="5A6BDD3E" w:rsidR="005F5092" w:rsidRPr="00D97289" w:rsidRDefault="005F5092" w:rsidP="005F5092">
      <w:pPr>
        <w:pStyle w:val="HHLBodyText"/>
        <w:spacing w:before="240"/>
        <w:rPr>
          <w:rFonts w:cs="Arial"/>
          <w:b/>
          <w:sz w:val="22"/>
          <w:szCs w:val="22"/>
        </w:rPr>
      </w:pPr>
      <w:r w:rsidRPr="00D002AE">
        <w:rPr>
          <w:b/>
          <w:sz w:val="22"/>
          <w:szCs w:val="22"/>
        </w:rPr>
        <w:t>Resources</w:t>
      </w:r>
    </w:p>
    <w:p w14:paraId="5E80F06F" w14:textId="77777777" w:rsidR="00EB1A07" w:rsidRPr="009D7753" w:rsidRDefault="00CF1416" w:rsidP="009D7753">
      <w:pPr>
        <w:pStyle w:val="Resourcelist"/>
        <w:spacing w:after="120"/>
        <w:rPr>
          <w:rStyle w:val="Hyperlink"/>
          <w:rFonts w:ascii="Arial" w:hAnsi="Arial" w:cs="Arial"/>
          <w:color w:val="0000FF"/>
        </w:rPr>
      </w:pPr>
      <w:hyperlink r:id="rId22" w:history="1">
        <w:r w:rsidR="005F5092" w:rsidRPr="009D7753">
          <w:rPr>
            <w:rStyle w:val="Hyperlink"/>
            <w:rFonts w:ascii="Arial" w:hAnsi="Arial" w:cs="Arial"/>
            <w:color w:val="0000FF"/>
          </w:rPr>
          <w:t xml:space="preserve">Health </w:t>
        </w:r>
        <w:r w:rsidR="005E2EB4" w:rsidRPr="009D7753">
          <w:rPr>
            <w:rStyle w:val="Hyperlink"/>
            <w:rFonts w:ascii="Arial" w:hAnsi="Arial" w:cs="Arial"/>
            <w:color w:val="0000FF"/>
          </w:rPr>
          <w:t>and</w:t>
        </w:r>
        <w:r w:rsidR="005F5092" w:rsidRPr="009D7753">
          <w:rPr>
            <w:rStyle w:val="Hyperlink"/>
            <w:rFonts w:ascii="Arial" w:hAnsi="Arial" w:cs="Arial"/>
            <w:color w:val="0000FF"/>
          </w:rPr>
          <w:t xml:space="preserve"> Disability Commissioner: </w:t>
        </w:r>
        <w:r w:rsidR="005E2EB4" w:rsidRPr="009D7753">
          <w:rPr>
            <w:rStyle w:val="Hyperlink"/>
            <w:rFonts w:ascii="Arial" w:hAnsi="Arial" w:cs="Arial"/>
            <w:color w:val="0000FF"/>
          </w:rPr>
          <w:t>Guidance on open disclosure policies</w:t>
        </w:r>
      </w:hyperlink>
    </w:p>
    <w:p w14:paraId="05B96290" w14:textId="77777777" w:rsidR="00EB1A07" w:rsidRPr="009D7753" w:rsidRDefault="00CF1416" w:rsidP="009D7753">
      <w:pPr>
        <w:pStyle w:val="Resourcelist"/>
        <w:spacing w:after="120"/>
        <w:rPr>
          <w:rStyle w:val="Hyperlink"/>
          <w:rFonts w:ascii="Arial" w:hAnsi="Arial" w:cs="Arial"/>
          <w:color w:val="0000FF"/>
        </w:rPr>
      </w:pPr>
      <w:hyperlink r:id="rId23" w:history="1">
        <w:r w:rsidR="00EB1A07" w:rsidRPr="009D7753">
          <w:rPr>
            <w:rStyle w:val="Hyperlink"/>
            <w:rFonts w:ascii="Arial" w:hAnsi="Arial" w:cs="Arial"/>
            <w:color w:val="0000FF"/>
          </w:rPr>
          <w:t>Medical Council of New Zealand: Disclosure of harm following an event</w:t>
        </w:r>
      </w:hyperlink>
    </w:p>
    <w:p w14:paraId="76CF5570" w14:textId="77777777" w:rsidR="00B05F5A" w:rsidRPr="009D7753" w:rsidRDefault="00CF1416" w:rsidP="009D7753">
      <w:pPr>
        <w:pStyle w:val="Resourcelist"/>
        <w:spacing w:after="120"/>
        <w:rPr>
          <w:rStyle w:val="Hyperlink"/>
          <w:rFonts w:ascii="Arial" w:hAnsi="Arial" w:cs="Arial"/>
          <w:color w:val="0000FF"/>
        </w:rPr>
      </w:pPr>
      <w:hyperlink r:id="rId24" w:history="1">
        <w:r w:rsidR="004717F3" w:rsidRPr="009D7753">
          <w:rPr>
            <w:rStyle w:val="Hyperlink"/>
            <w:rFonts w:ascii="Arial" w:hAnsi="Arial" w:cs="Arial"/>
            <w:color w:val="0000FF"/>
          </w:rPr>
          <w:t xml:space="preserve">Health Quality &amp; Safety Commission </w:t>
        </w:r>
        <w:r w:rsidR="00EB1A07" w:rsidRPr="009D7753">
          <w:rPr>
            <w:rStyle w:val="Hyperlink"/>
            <w:rFonts w:ascii="Arial" w:hAnsi="Arial" w:cs="Arial"/>
            <w:color w:val="0000FF"/>
          </w:rPr>
          <w:t>New Zealand</w:t>
        </w:r>
        <w:r w:rsidR="00F53503" w:rsidRPr="009D7753">
          <w:rPr>
            <w:rStyle w:val="Hyperlink"/>
            <w:rFonts w:ascii="Arial" w:hAnsi="Arial" w:cs="Arial"/>
            <w:color w:val="0000FF"/>
          </w:rPr>
          <w:t>:</w:t>
        </w:r>
        <w:r w:rsidR="00EB1A07" w:rsidRPr="009D7753">
          <w:rPr>
            <w:rStyle w:val="Hyperlink"/>
            <w:rFonts w:ascii="Arial" w:hAnsi="Arial" w:cs="Arial"/>
            <w:color w:val="0000FF"/>
          </w:rPr>
          <w:t xml:space="preserve"> National Adverse Events Reporting Policy</w:t>
        </w:r>
      </w:hyperlink>
      <w:r w:rsidR="00EB1A07" w:rsidRPr="009D7753">
        <w:rPr>
          <w:rStyle w:val="Hyperlink"/>
          <w:rFonts w:ascii="Arial" w:hAnsi="Arial" w:cs="Arial"/>
          <w:color w:val="0000FF"/>
        </w:rPr>
        <w:t xml:space="preserve"> </w:t>
      </w:r>
    </w:p>
    <w:p w14:paraId="084AF98C" w14:textId="099D68EF" w:rsidR="00167B9E" w:rsidRPr="005E2EB4" w:rsidRDefault="00CF1416" w:rsidP="00B05F5A">
      <w:pPr>
        <w:pStyle w:val="Resourcelist"/>
        <w:spacing w:after="60"/>
        <w:ind w:left="720"/>
        <w:rPr>
          <w:b/>
          <w:color w:val="EE7624"/>
          <w:sz w:val="26"/>
        </w:rPr>
      </w:pPr>
      <w:hyperlink r:id="rId25" w:history="1"/>
      <w:r w:rsidR="00167B9E">
        <w:br w:type="page"/>
      </w:r>
    </w:p>
    <w:p w14:paraId="119149DA" w14:textId="67B5D448" w:rsidR="00BA3ECD" w:rsidRDefault="00CD1D63" w:rsidP="006D11A9">
      <w:pPr>
        <w:pStyle w:val="HHLSubHeading"/>
        <w:numPr>
          <w:ilvl w:val="0"/>
          <w:numId w:val="0"/>
        </w:numPr>
        <w:tabs>
          <w:tab w:val="left" w:pos="1560"/>
        </w:tabs>
      </w:pPr>
      <w:bookmarkStart w:id="21" w:name="_Toc6998656"/>
      <w:r w:rsidRPr="00902640">
        <w:lastRenderedPageBreak/>
        <w:t xml:space="preserve">Indicator </w:t>
      </w:r>
      <w:r>
        <w:t>3</w:t>
      </w:r>
      <w:r w:rsidRPr="00902640">
        <w:t>.</w:t>
      </w:r>
      <w:r>
        <w:t xml:space="preserve"> </w:t>
      </w:r>
      <w:r w:rsidR="006D11A9">
        <w:tab/>
      </w:r>
      <w:r w:rsidR="00BA3ECD" w:rsidRPr="001B256A">
        <w:t>Privacy Act 1993 and Health Information Privacy Code 1994.</w:t>
      </w:r>
      <w:bookmarkEnd w:id="21"/>
      <w:r w:rsidR="004E09ED">
        <w:t xml:space="preserve"> </w:t>
      </w:r>
    </w:p>
    <w:p w14:paraId="0C86B778" w14:textId="7BE00314" w:rsidR="00CD1D63" w:rsidRPr="00BA3ECD" w:rsidRDefault="00CD1D63" w:rsidP="00BA3ECD">
      <w:pPr>
        <w:pStyle w:val="HHLBodyText"/>
        <w:rPr>
          <w:b/>
        </w:rPr>
      </w:pPr>
      <w:r w:rsidRPr="00BA3ECD">
        <w:rPr>
          <w:b/>
        </w:rPr>
        <w:t xml:space="preserve">Our practice </w:t>
      </w:r>
      <w:r w:rsidR="00CC4CE1" w:rsidRPr="00BA3ECD">
        <w:rPr>
          <w:b/>
        </w:rPr>
        <w:t xml:space="preserve">meets the </w:t>
      </w:r>
      <w:r w:rsidR="00C66415">
        <w:rPr>
          <w:b/>
        </w:rPr>
        <w:t xml:space="preserve">requirements of the </w:t>
      </w:r>
      <w:r w:rsidR="00CC4CE1" w:rsidRPr="00BA3ECD">
        <w:rPr>
          <w:b/>
        </w:rPr>
        <w:t>Privacy Act 1993 and Health Inf</w:t>
      </w:r>
      <w:r w:rsidR="00D002AE" w:rsidRPr="00BA3ECD">
        <w:rPr>
          <w:b/>
        </w:rPr>
        <w:t>o</w:t>
      </w:r>
      <w:r w:rsidR="00CC4CE1" w:rsidRPr="00BA3ECD">
        <w:rPr>
          <w:b/>
        </w:rPr>
        <w:t>rmation Privacy Code 1994.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539"/>
        <w:gridCol w:w="4051"/>
      </w:tblGrid>
      <w:tr w:rsidR="00CD1D63" w:rsidRPr="002E71B3" w14:paraId="623666E9" w14:textId="77777777" w:rsidTr="00831A94">
        <w:tc>
          <w:tcPr>
            <w:tcW w:w="1153" w:type="dxa"/>
            <w:shd w:val="clear" w:color="auto" w:fill="FBD4B4" w:themeFill="accent6" w:themeFillTint="66"/>
          </w:tcPr>
          <w:p w14:paraId="27393935" w14:textId="77777777" w:rsidR="00CD1D63" w:rsidRPr="002E71B3" w:rsidRDefault="00CD1D63" w:rsidP="00300027">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59546C16" w14:textId="77777777" w:rsidR="00CD1D63" w:rsidRPr="002E71B3" w:rsidRDefault="00CD1D63" w:rsidP="00300027">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16C36CEC" w14:textId="32199B55" w:rsidR="00CD1D63" w:rsidRPr="002E71B3" w:rsidRDefault="00CD1D63" w:rsidP="00300027">
            <w:pPr>
              <w:spacing w:before="120" w:after="120"/>
              <w:rPr>
                <w:b/>
                <w:color w:val="auto"/>
                <w:sz w:val="22"/>
                <w:szCs w:val="22"/>
              </w:rPr>
            </w:pPr>
            <w:r w:rsidRPr="002E71B3">
              <w:rPr>
                <w:b/>
                <w:color w:val="auto"/>
                <w:sz w:val="22"/>
                <w:szCs w:val="22"/>
              </w:rPr>
              <w:t>Required evidence</w:t>
            </w:r>
          </w:p>
        </w:tc>
      </w:tr>
      <w:tr w:rsidR="00177BDB" w:rsidRPr="002E71B3" w14:paraId="132FA071" w14:textId="77777777" w:rsidTr="00831A94">
        <w:tc>
          <w:tcPr>
            <w:tcW w:w="1153" w:type="dxa"/>
          </w:tcPr>
          <w:p w14:paraId="3BEB7F8B" w14:textId="27DC8413" w:rsidR="00177BDB" w:rsidRDefault="00177BDB" w:rsidP="00300027">
            <w:pPr>
              <w:spacing w:before="60"/>
              <w:rPr>
                <w:color w:val="auto"/>
                <w:sz w:val="22"/>
                <w:szCs w:val="22"/>
              </w:rPr>
            </w:pPr>
            <w:r>
              <w:rPr>
                <w:color w:val="auto"/>
                <w:sz w:val="22"/>
                <w:szCs w:val="22"/>
              </w:rPr>
              <w:t>3.1</w:t>
            </w:r>
          </w:p>
        </w:tc>
        <w:tc>
          <w:tcPr>
            <w:tcW w:w="4568" w:type="dxa"/>
          </w:tcPr>
          <w:p w14:paraId="5488C9C4" w14:textId="1C7A4F52" w:rsidR="00177BDB" w:rsidRPr="00CC4CE1" w:rsidRDefault="00177BDB" w:rsidP="00300027">
            <w:pPr>
              <w:spacing w:before="60"/>
              <w:rPr>
                <w:color w:val="auto"/>
                <w:sz w:val="22"/>
                <w:szCs w:val="22"/>
              </w:rPr>
            </w:pPr>
            <w:r w:rsidRPr="00177BDB">
              <w:rPr>
                <w:color w:val="auto"/>
                <w:sz w:val="22"/>
                <w:szCs w:val="22"/>
              </w:rPr>
              <w:t xml:space="preserve">Ensure team members are trained to understand and implement the Privacy Act 1993 and Health </w:t>
            </w:r>
            <w:r w:rsidR="002D3694" w:rsidRPr="00177BDB">
              <w:rPr>
                <w:color w:val="auto"/>
                <w:sz w:val="22"/>
                <w:szCs w:val="22"/>
              </w:rPr>
              <w:t>Information</w:t>
            </w:r>
            <w:r w:rsidRPr="00177BDB">
              <w:rPr>
                <w:color w:val="auto"/>
                <w:sz w:val="22"/>
                <w:szCs w:val="22"/>
              </w:rPr>
              <w:t xml:space="preserve"> Privacy Code 1994</w:t>
            </w:r>
            <w:r w:rsidR="0002433F">
              <w:rPr>
                <w:color w:val="auto"/>
                <w:sz w:val="22"/>
                <w:szCs w:val="22"/>
              </w:rPr>
              <w:t>.</w:t>
            </w:r>
          </w:p>
        </w:tc>
        <w:tc>
          <w:tcPr>
            <w:tcW w:w="4075" w:type="dxa"/>
          </w:tcPr>
          <w:p w14:paraId="5EAF9A12" w14:textId="77777777" w:rsidR="003A2ABC" w:rsidRPr="00F628F5" w:rsidRDefault="003A2ABC" w:rsidP="003A2ABC">
            <w:pPr>
              <w:spacing w:before="60"/>
              <w:rPr>
                <w:color w:val="auto"/>
                <w:sz w:val="22"/>
                <w:szCs w:val="22"/>
              </w:rPr>
            </w:pPr>
            <w:r w:rsidRPr="00F628F5">
              <w:rPr>
                <w:color w:val="auto"/>
                <w:sz w:val="22"/>
                <w:szCs w:val="22"/>
              </w:rPr>
              <w:t>Staff training records</w:t>
            </w:r>
            <w:r>
              <w:rPr>
                <w:color w:val="auto"/>
                <w:sz w:val="22"/>
                <w:szCs w:val="22"/>
              </w:rPr>
              <w:t xml:space="preserve"> demonstrate completion of required training by team members.</w:t>
            </w:r>
          </w:p>
          <w:p w14:paraId="1EB14EFA" w14:textId="332CF494" w:rsidR="00177BDB" w:rsidRPr="00ED3B9B" w:rsidRDefault="00177BDB" w:rsidP="00ED3B9B">
            <w:pPr>
              <w:spacing w:before="60"/>
              <w:rPr>
                <w:color w:val="auto"/>
                <w:sz w:val="22"/>
                <w:szCs w:val="22"/>
              </w:rPr>
            </w:pPr>
          </w:p>
        </w:tc>
      </w:tr>
      <w:tr w:rsidR="00CC4CE1" w:rsidRPr="002E71B3" w14:paraId="3D6D125C" w14:textId="77777777" w:rsidTr="00831A94">
        <w:tc>
          <w:tcPr>
            <w:tcW w:w="1153" w:type="dxa"/>
          </w:tcPr>
          <w:p w14:paraId="43930488" w14:textId="1E1D1998" w:rsidR="00CC4CE1" w:rsidRDefault="00FF124F" w:rsidP="00300027">
            <w:pPr>
              <w:spacing w:before="60"/>
              <w:rPr>
                <w:color w:val="auto"/>
                <w:sz w:val="22"/>
                <w:szCs w:val="22"/>
              </w:rPr>
            </w:pPr>
            <w:r>
              <w:rPr>
                <w:color w:val="auto"/>
                <w:sz w:val="22"/>
                <w:szCs w:val="22"/>
              </w:rPr>
              <w:t>3.</w:t>
            </w:r>
            <w:r w:rsidR="001913DF">
              <w:rPr>
                <w:color w:val="auto"/>
                <w:sz w:val="22"/>
                <w:szCs w:val="22"/>
              </w:rPr>
              <w:t>2</w:t>
            </w:r>
          </w:p>
        </w:tc>
        <w:tc>
          <w:tcPr>
            <w:tcW w:w="4568" w:type="dxa"/>
          </w:tcPr>
          <w:p w14:paraId="7A219ED5" w14:textId="2DAB19D8" w:rsidR="00CC4CE1" w:rsidRPr="004C61CD" w:rsidRDefault="00395853" w:rsidP="00300027">
            <w:pPr>
              <w:spacing w:before="60"/>
              <w:rPr>
                <w:color w:val="auto"/>
                <w:sz w:val="22"/>
                <w:szCs w:val="22"/>
              </w:rPr>
            </w:pPr>
            <w:r w:rsidRPr="004C61CD">
              <w:rPr>
                <w:color w:val="auto"/>
                <w:sz w:val="22"/>
                <w:szCs w:val="22"/>
              </w:rPr>
              <w:t xml:space="preserve">Follow the guidance </w:t>
            </w:r>
            <w:r>
              <w:rPr>
                <w:color w:val="auto"/>
                <w:sz w:val="22"/>
                <w:szCs w:val="22"/>
              </w:rPr>
              <w:t xml:space="preserve">on </w:t>
            </w:r>
            <w:r w:rsidR="00700E99">
              <w:rPr>
                <w:color w:val="auto"/>
                <w:sz w:val="22"/>
                <w:szCs w:val="22"/>
              </w:rPr>
              <w:t xml:space="preserve">privacy </w:t>
            </w:r>
            <w:r w:rsidR="00B05F5A">
              <w:rPr>
                <w:color w:val="auto"/>
                <w:sz w:val="22"/>
                <w:szCs w:val="22"/>
              </w:rPr>
              <w:t xml:space="preserve">as </w:t>
            </w:r>
            <w:r w:rsidR="00700E99">
              <w:rPr>
                <w:color w:val="auto"/>
                <w:sz w:val="22"/>
                <w:szCs w:val="22"/>
              </w:rPr>
              <w:t>provided by Pri</w:t>
            </w:r>
            <w:r w:rsidR="000D78F1">
              <w:rPr>
                <w:color w:val="auto"/>
                <w:sz w:val="22"/>
                <w:szCs w:val="22"/>
              </w:rPr>
              <w:t>vacy</w:t>
            </w:r>
            <w:r w:rsidR="00700E99">
              <w:rPr>
                <w:color w:val="auto"/>
                <w:sz w:val="22"/>
                <w:szCs w:val="22"/>
              </w:rPr>
              <w:t xml:space="preserve"> Commissioner.</w:t>
            </w:r>
          </w:p>
        </w:tc>
        <w:tc>
          <w:tcPr>
            <w:tcW w:w="4075" w:type="dxa"/>
          </w:tcPr>
          <w:p w14:paraId="7F90EE5B" w14:textId="09C9B40C" w:rsidR="00E24FFC" w:rsidRPr="007B1532" w:rsidRDefault="00E24FFC" w:rsidP="007B1532">
            <w:pPr>
              <w:spacing w:before="60"/>
              <w:ind w:left="14"/>
              <w:rPr>
                <w:color w:val="auto"/>
                <w:sz w:val="22"/>
                <w:szCs w:val="22"/>
              </w:rPr>
            </w:pPr>
            <w:r w:rsidRPr="007B1532">
              <w:rPr>
                <w:color w:val="auto"/>
                <w:sz w:val="22"/>
                <w:szCs w:val="22"/>
              </w:rPr>
              <w:t xml:space="preserve">A documented practice </w:t>
            </w:r>
            <w:r w:rsidR="00AA5998" w:rsidRPr="007B1532">
              <w:rPr>
                <w:color w:val="auto"/>
                <w:sz w:val="22"/>
                <w:szCs w:val="22"/>
              </w:rPr>
              <w:t>P</w:t>
            </w:r>
            <w:r w:rsidRPr="007B1532">
              <w:rPr>
                <w:color w:val="auto"/>
                <w:sz w:val="22"/>
                <w:szCs w:val="22"/>
              </w:rPr>
              <w:t xml:space="preserve">rivacy </w:t>
            </w:r>
            <w:r w:rsidR="00AA5998" w:rsidRPr="007B1532">
              <w:rPr>
                <w:color w:val="auto"/>
                <w:sz w:val="22"/>
                <w:szCs w:val="22"/>
              </w:rPr>
              <w:t>P</w:t>
            </w:r>
            <w:r w:rsidRPr="007B1532">
              <w:rPr>
                <w:color w:val="auto"/>
                <w:sz w:val="22"/>
                <w:szCs w:val="22"/>
              </w:rPr>
              <w:t xml:space="preserve">olicy and </w:t>
            </w:r>
            <w:r w:rsidR="00AA5998" w:rsidRPr="007B1532">
              <w:rPr>
                <w:color w:val="auto"/>
                <w:sz w:val="22"/>
                <w:szCs w:val="22"/>
              </w:rPr>
              <w:t>P</w:t>
            </w:r>
            <w:r w:rsidRPr="007B1532">
              <w:rPr>
                <w:color w:val="auto"/>
                <w:sz w:val="22"/>
                <w:szCs w:val="22"/>
              </w:rPr>
              <w:t xml:space="preserve">rocedure that includes team members, locums and </w:t>
            </w:r>
            <w:r w:rsidRPr="007B1532">
              <w:rPr>
                <w:rFonts w:cs="Arial"/>
                <w:color w:val="auto"/>
                <w:sz w:val="22"/>
                <w:szCs w:val="22"/>
              </w:rPr>
              <w:t>contractors signing confidentiality agreements.</w:t>
            </w:r>
          </w:p>
          <w:p w14:paraId="1A0CD680" w14:textId="7FA423AF" w:rsidR="00700E99" w:rsidRPr="007B1532" w:rsidRDefault="00B05F5A" w:rsidP="007B1532">
            <w:pPr>
              <w:spacing w:before="60"/>
              <w:ind w:left="14"/>
              <w:rPr>
                <w:color w:val="auto"/>
                <w:sz w:val="22"/>
                <w:szCs w:val="22"/>
              </w:rPr>
            </w:pPr>
            <w:r w:rsidRPr="007B1532">
              <w:rPr>
                <w:color w:val="auto"/>
                <w:sz w:val="22"/>
                <w:szCs w:val="22"/>
              </w:rPr>
              <w:t>Demonstrate</w:t>
            </w:r>
            <w:r w:rsidR="00700E99" w:rsidRPr="007B1532">
              <w:rPr>
                <w:color w:val="auto"/>
                <w:sz w:val="22"/>
                <w:szCs w:val="22"/>
              </w:rPr>
              <w:t xml:space="preserve"> how team members comply with the requirements of Privacy Act 1993 and Health Information Privacy Code 1994.</w:t>
            </w:r>
          </w:p>
          <w:p w14:paraId="76D751E1" w14:textId="5A014054" w:rsidR="00CC4CE1" w:rsidRPr="007B1532" w:rsidRDefault="000811F8" w:rsidP="007B1532">
            <w:pPr>
              <w:spacing w:before="60"/>
              <w:ind w:left="14"/>
              <w:rPr>
                <w:color w:val="auto"/>
                <w:sz w:val="22"/>
                <w:szCs w:val="22"/>
              </w:rPr>
            </w:pPr>
            <w:r w:rsidRPr="007B1532">
              <w:rPr>
                <w:color w:val="auto"/>
                <w:sz w:val="22"/>
                <w:szCs w:val="22"/>
              </w:rPr>
              <w:t xml:space="preserve">A designated </w:t>
            </w:r>
            <w:r w:rsidR="00F077A5" w:rsidRPr="007B1532">
              <w:rPr>
                <w:color w:val="auto"/>
                <w:sz w:val="22"/>
                <w:szCs w:val="22"/>
              </w:rPr>
              <w:t>Privacy Officer r</w:t>
            </w:r>
            <w:r w:rsidR="008C0D39" w:rsidRPr="007B1532">
              <w:rPr>
                <w:color w:val="auto"/>
                <w:sz w:val="22"/>
                <w:szCs w:val="22"/>
              </w:rPr>
              <w:t xml:space="preserve">ole and </w:t>
            </w:r>
            <w:r w:rsidR="009C656B" w:rsidRPr="007B1532">
              <w:rPr>
                <w:color w:val="auto"/>
                <w:sz w:val="22"/>
                <w:szCs w:val="22"/>
              </w:rPr>
              <w:t>responsibilities</w:t>
            </w:r>
            <w:r w:rsidR="008C0D39" w:rsidRPr="007B1532">
              <w:rPr>
                <w:color w:val="auto"/>
                <w:sz w:val="22"/>
                <w:szCs w:val="22"/>
              </w:rPr>
              <w:t xml:space="preserve"> </w:t>
            </w:r>
            <w:r w:rsidR="00007CC2" w:rsidRPr="007B1532">
              <w:rPr>
                <w:color w:val="auto"/>
                <w:sz w:val="22"/>
                <w:szCs w:val="22"/>
              </w:rPr>
              <w:t xml:space="preserve">are </w:t>
            </w:r>
            <w:r w:rsidR="008C0D39" w:rsidRPr="007B1532">
              <w:rPr>
                <w:color w:val="auto"/>
                <w:sz w:val="22"/>
                <w:szCs w:val="22"/>
              </w:rPr>
              <w:t xml:space="preserve">written into </w:t>
            </w:r>
            <w:r w:rsidR="00A27348" w:rsidRPr="007B1532">
              <w:rPr>
                <w:color w:val="auto"/>
                <w:sz w:val="22"/>
                <w:szCs w:val="22"/>
              </w:rPr>
              <w:t xml:space="preserve">a </w:t>
            </w:r>
            <w:r w:rsidR="008C0D39" w:rsidRPr="007B1532">
              <w:rPr>
                <w:color w:val="auto"/>
                <w:sz w:val="22"/>
                <w:szCs w:val="22"/>
              </w:rPr>
              <w:t xml:space="preserve">position </w:t>
            </w:r>
            <w:r w:rsidR="009C656B" w:rsidRPr="007B1532">
              <w:rPr>
                <w:color w:val="auto"/>
                <w:sz w:val="22"/>
                <w:szCs w:val="22"/>
              </w:rPr>
              <w:t>description</w:t>
            </w:r>
            <w:r w:rsidR="008C0D39" w:rsidRPr="007B1532">
              <w:rPr>
                <w:color w:val="auto"/>
                <w:sz w:val="22"/>
                <w:szCs w:val="22"/>
              </w:rPr>
              <w:t xml:space="preserve"> </w:t>
            </w:r>
            <w:r w:rsidRPr="007B1532">
              <w:rPr>
                <w:color w:val="auto"/>
                <w:sz w:val="22"/>
                <w:szCs w:val="22"/>
              </w:rPr>
              <w:t xml:space="preserve">and stated </w:t>
            </w:r>
            <w:r w:rsidR="00A27348" w:rsidRPr="007B1532">
              <w:rPr>
                <w:color w:val="auto"/>
                <w:sz w:val="22"/>
                <w:szCs w:val="22"/>
              </w:rPr>
              <w:t xml:space="preserve">in the </w:t>
            </w:r>
            <w:r w:rsidR="00AA5998" w:rsidRPr="007B1532">
              <w:rPr>
                <w:color w:val="auto"/>
                <w:sz w:val="22"/>
                <w:szCs w:val="22"/>
              </w:rPr>
              <w:t>P</w:t>
            </w:r>
            <w:r w:rsidR="008C0D39" w:rsidRPr="007B1532">
              <w:rPr>
                <w:color w:val="auto"/>
                <w:sz w:val="22"/>
                <w:szCs w:val="22"/>
              </w:rPr>
              <w:t xml:space="preserve">rivacy </w:t>
            </w:r>
            <w:r w:rsidR="00AA5998" w:rsidRPr="007B1532">
              <w:rPr>
                <w:color w:val="auto"/>
                <w:sz w:val="22"/>
                <w:szCs w:val="22"/>
              </w:rPr>
              <w:t>P</w:t>
            </w:r>
            <w:r w:rsidR="008C0D39" w:rsidRPr="007B1532">
              <w:rPr>
                <w:color w:val="auto"/>
                <w:sz w:val="22"/>
                <w:szCs w:val="22"/>
              </w:rPr>
              <w:t>olicy.</w:t>
            </w:r>
          </w:p>
        </w:tc>
      </w:tr>
    </w:tbl>
    <w:p w14:paraId="3CD15E58" w14:textId="77777777" w:rsidR="00831A94" w:rsidRPr="005B2DE1" w:rsidRDefault="00831A94" w:rsidP="00831A94">
      <w:pPr>
        <w:pStyle w:val="HHLBodyText"/>
        <w:spacing w:before="240"/>
        <w:rPr>
          <w:b/>
          <w:sz w:val="22"/>
          <w:szCs w:val="22"/>
        </w:rPr>
      </w:pPr>
      <w:r w:rsidRPr="005B2DE1">
        <w:rPr>
          <w:b/>
          <w:sz w:val="22"/>
          <w:szCs w:val="22"/>
        </w:rPr>
        <w:t>Required training</w:t>
      </w:r>
    </w:p>
    <w:p w14:paraId="59DFF73D" w14:textId="77777777" w:rsidR="004D4B0C" w:rsidRPr="005B2DE1" w:rsidRDefault="004D4B0C" w:rsidP="004D4B0C">
      <w:pPr>
        <w:pStyle w:val="HHLBodyText"/>
        <w:spacing w:before="0"/>
        <w:rPr>
          <w:sz w:val="22"/>
          <w:szCs w:val="22"/>
        </w:rPr>
      </w:pPr>
      <w:r w:rsidRPr="005B2DE1">
        <w:rPr>
          <w:sz w:val="22"/>
          <w:szCs w:val="22"/>
        </w:rPr>
        <w:t xml:space="preserve">A designated member(s) of the practice team is </w:t>
      </w:r>
      <w:r>
        <w:rPr>
          <w:sz w:val="22"/>
          <w:szCs w:val="22"/>
        </w:rPr>
        <w:t xml:space="preserve">required to be </w:t>
      </w:r>
      <w:r w:rsidRPr="005B2DE1">
        <w:rPr>
          <w:sz w:val="22"/>
          <w:szCs w:val="22"/>
        </w:rPr>
        <w:t xml:space="preserve">familiar with the </w:t>
      </w:r>
      <w:r>
        <w:rPr>
          <w:sz w:val="22"/>
          <w:szCs w:val="22"/>
        </w:rPr>
        <w:t xml:space="preserve">Privacy Commission’s </w:t>
      </w:r>
      <w:r w:rsidRPr="005B2DE1">
        <w:rPr>
          <w:sz w:val="22"/>
          <w:szCs w:val="22"/>
        </w:rPr>
        <w:t xml:space="preserve">guidance and </w:t>
      </w:r>
      <w:r>
        <w:rPr>
          <w:sz w:val="22"/>
          <w:szCs w:val="22"/>
        </w:rPr>
        <w:t xml:space="preserve">ensure </w:t>
      </w:r>
      <w:r w:rsidRPr="005B2DE1">
        <w:rPr>
          <w:sz w:val="22"/>
          <w:szCs w:val="22"/>
        </w:rPr>
        <w:t xml:space="preserve">resources </w:t>
      </w:r>
      <w:r>
        <w:rPr>
          <w:sz w:val="22"/>
          <w:szCs w:val="22"/>
        </w:rPr>
        <w:t xml:space="preserve">are </w:t>
      </w:r>
      <w:r w:rsidRPr="005B2DE1">
        <w:rPr>
          <w:sz w:val="22"/>
          <w:szCs w:val="22"/>
        </w:rPr>
        <w:t>available for training.</w:t>
      </w:r>
    </w:p>
    <w:p w14:paraId="001CBC73" w14:textId="77777777" w:rsidR="004D4B0C" w:rsidRPr="00D85787" w:rsidRDefault="004D4B0C" w:rsidP="004D4B0C">
      <w:pPr>
        <w:pStyle w:val="HHLBodyText"/>
        <w:rPr>
          <w:sz w:val="22"/>
          <w:szCs w:val="22"/>
        </w:rPr>
      </w:pPr>
      <w:r w:rsidRPr="005B2DE1">
        <w:rPr>
          <w:sz w:val="22"/>
          <w:szCs w:val="22"/>
        </w:rPr>
        <w:t xml:space="preserve">The practice team </w:t>
      </w:r>
      <w:r>
        <w:rPr>
          <w:sz w:val="22"/>
          <w:szCs w:val="22"/>
        </w:rPr>
        <w:t xml:space="preserve">must have </w:t>
      </w:r>
      <w:r w:rsidRPr="005B2DE1">
        <w:rPr>
          <w:sz w:val="22"/>
          <w:szCs w:val="22"/>
        </w:rPr>
        <w:t xml:space="preserve">received training to implement the </w:t>
      </w:r>
      <w:bookmarkStart w:id="22" w:name="_Hlk4502637"/>
      <w:r w:rsidRPr="00D85787">
        <w:rPr>
          <w:sz w:val="22"/>
          <w:szCs w:val="22"/>
        </w:rPr>
        <w:t>Privacy Act 1993 and Health Information Privacy Code 1994</w:t>
      </w:r>
      <w:bookmarkEnd w:id="22"/>
      <w:r w:rsidRPr="00D85787">
        <w:rPr>
          <w:sz w:val="22"/>
          <w:szCs w:val="22"/>
        </w:rPr>
        <w:t>.</w:t>
      </w:r>
    </w:p>
    <w:p w14:paraId="03CF0CAF" w14:textId="4ED80B03" w:rsidR="00FE643E" w:rsidRPr="004D4B0C" w:rsidRDefault="004D4B0C" w:rsidP="00DC2370">
      <w:pPr>
        <w:pStyle w:val="HHLBodyText"/>
        <w:numPr>
          <w:ilvl w:val="0"/>
          <w:numId w:val="8"/>
        </w:numPr>
        <w:ind w:left="360" w:hanging="270"/>
        <w:rPr>
          <w:sz w:val="22"/>
          <w:szCs w:val="22"/>
        </w:rPr>
      </w:pPr>
      <w:r w:rsidRPr="005B2DE1">
        <w:rPr>
          <w:sz w:val="22"/>
          <w:szCs w:val="22"/>
        </w:rPr>
        <w:t xml:space="preserve">This training is required once and is to be updated either when the </w:t>
      </w:r>
      <w:r w:rsidRPr="00D85787">
        <w:rPr>
          <w:sz w:val="22"/>
          <w:szCs w:val="22"/>
        </w:rPr>
        <w:t xml:space="preserve">Privacy Act 1993 </w:t>
      </w:r>
      <w:r>
        <w:rPr>
          <w:sz w:val="22"/>
          <w:szCs w:val="22"/>
        </w:rPr>
        <w:t>or the</w:t>
      </w:r>
      <w:r w:rsidRPr="00D85787">
        <w:rPr>
          <w:sz w:val="22"/>
          <w:szCs w:val="22"/>
        </w:rPr>
        <w:t xml:space="preserve"> Health Information Privacy Code 1994</w:t>
      </w:r>
      <w:r w:rsidRPr="005B2DE1">
        <w:rPr>
          <w:sz w:val="22"/>
          <w:szCs w:val="22"/>
        </w:rPr>
        <w:t xml:space="preserve"> has been updated or there has been a related issue</w:t>
      </w:r>
      <w:r>
        <w:rPr>
          <w:sz w:val="22"/>
          <w:szCs w:val="22"/>
        </w:rPr>
        <w:t xml:space="preserve"> within your practice</w:t>
      </w:r>
      <w:r w:rsidRPr="005B2DE1">
        <w:rPr>
          <w:sz w:val="22"/>
          <w:szCs w:val="22"/>
        </w:rPr>
        <w:t>.</w:t>
      </w:r>
    </w:p>
    <w:p w14:paraId="3F64B619" w14:textId="38620A9E" w:rsidR="00D002AE" w:rsidRDefault="00D002AE" w:rsidP="00D002AE">
      <w:pPr>
        <w:pStyle w:val="HHLBodyText"/>
        <w:spacing w:before="240"/>
        <w:rPr>
          <w:b/>
          <w:sz w:val="22"/>
          <w:szCs w:val="22"/>
        </w:rPr>
      </w:pPr>
      <w:r w:rsidRPr="005B2DE1">
        <w:rPr>
          <w:b/>
          <w:sz w:val="22"/>
          <w:szCs w:val="22"/>
        </w:rPr>
        <w:t>Guidance notes</w:t>
      </w:r>
    </w:p>
    <w:p w14:paraId="22A08DC8" w14:textId="098DDFEB" w:rsidR="003633CA" w:rsidRPr="00054DC4" w:rsidRDefault="003633CA" w:rsidP="002658F5">
      <w:pPr>
        <w:pStyle w:val="HHLBodyText"/>
        <w:spacing w:before="0"/>
        <w:rPr>
          <w:i/>
        </w:rPr>
      </w:pPr>
      <w:r w:rsidRPr="00054DC4">
        <w:rPr>
          <w:i/>
        </w:rPr>
        <w:t>The Privacy Act</w:t>
      </w:r>
      <w:r w:rsidR="00733853">
        <w:rPr>
          <w:i/>
        </w:rPr>
        <w:t xml:space="preserve"> 1993</w:t>
      </w:r>
    </w:p>
    <w:p w14:paraId="752F9039" w14:textId="5BFDB84B" w:rsidR="003633CA" w:rsidRPr="003633CA" w:rsidRDefault="003633CA" w:rsidP="003B0D49">
      <w:pPr>
        <w:rPr>
          <w:rFonts w:cs="Arial"/>
          <w:sz w:val="22"/>
          <w:szCs w:val="22"/>
        </w:rPr>
      </w:pPr>
      <w:r w:rsidRPr="003633CA">
        <w:rPr>
          <w:rFonts w:cs="Arial"/>
          <w:color w:val="auto"/>
          <w:sz w:val="22"/>
          <w:szCs w:val="22"/>
        </w:rPr>
        <w:t xml:space="preserve">The Privacy Act 1993 controls how ‘agencies’ collect, use, disclose, store and give access to ‘personal information’. The privacy Codes of Practice do the same, but they apply to specific areas – in our case health. </w:t>
      </w:r>
    </w:p>
    <w:p w14:paraId="3CBCBDFD" w14:textId="77777777" w:rsidR="003633CA" w:rsidRPr="00054DC4" w:rsidRDefault="003633CA" w:rsidP="00853731">
      <w:pPr>
        <w:pStyle w:val="HHLBodyText"/>
        <w:spacing w:before="240"/>
        <w:rPr>
          <w:i/>
        </w:rPr>
      </w:pPr>
      <w:r w:rsidRPr="00054DC4">
        <w:rPr>
          <w:i/>
        </w:rPr>
        <w:t>Health Information Privacy Code</w:t>
      </w:r>
    </w:p>
    <w:p w14:paraId="1A272506" w14:textId="77777777" w:rsidR="00D97289" w:rsidRDefault="003633CA" w:rsidP="00834393">
      <w:pPr>
        <w:spacing w:after="0"/>
        <w:rPr>
          <w:rFonts w:cs="Arial"/>
          <w:color w:val="auto"/>
          <w:sz w:val="22"/>
          <w:szCs w:val="22"/>
        </w:rPr>
      </w:pPr>
      <w:r w:rsidRPr="00565A28">
        <w:rPr>
          <w:rFonts w:cs="Arial"/>
          <w:color w:val="auto"/>
          <w:sz w:val="22"/>
          <w:szCs w:val="22"/>
        </w:rPr>
        <w:t xml:space="preserve">The </w:t>
      </w:r>
      <w:r w:rsidRPr="00D97289">
        <w:rPr>
          <w:rFonts w:cs="Arial"/>
          <w:color w:val="auto"/>
          <w:sz w:val="22"/>
          <w:szCs w:val="22"/>
        </w:rPr>
        <w:t>Health Information Privacy Code 1994</w:t>
      </w:r>
      <w:r w:rsidRPr="00565A28">
        <w:rPr>
          <w:rFonts w:cs="Arial"/>
          <w:color w:val="auto"/>
          <w:sz w:val="22"/>
          <w:szCs w:val="22"/>
        </w:rPr>
        <w:t xml:space="preserve"> sets specific </w:t>
      </w:r>
      <w:hyperlink r:id="rId26" w:history="1">
        <w:r w:rsidRPr="00D97289">
          <w:rPr>
            <w:rFonts w:cs="Arial"/>
            <w:color w:val="auto"/>
            <w:sz w:val="22"/>
            <w:szCs w:val="22"/>
          </w:rPr>
          <w:t>rules</w:t>
        </w:r>
      </w:hyperlink>
      <w:r w:rsidRPr="00565A28">
        <w:rPr>
          <w:rFonts w:cs="Arial"/>
          <w:color w:val="auto"/>
          <w:sz w:val="22"/>
          <w:szCs w:val="22"/>
        </w:rPr>
        <w:t xml:space="preserve"> for agencies in the health sector. It covers health information collected, used, held and disclosed by health agencies and takes the place of the information privacy principles for the health sector.</w:t>
      </w:r>
    </w:p>
    <w:p w14:paraId="70130F34" w14:textId="313D5D0A" w:rsidR="00D97289" w:rsidRPr="00D97289" w:rsidRDefault="00D97289" w:rsidP="00834393">
      <w:pPr>
        <w:pStyle w:val="HHLBodyText"/>
        <w:spacing w:before="240"/>
        <w:rPr>
          <w:rFonts w:cs="Arial"/>
          <w:i/>
        </w:rPr>
      </w:pPr>
      <w:r w:rsidRPr="00D97289">
        <w:rPr>
          <w:rFonts w:cs="Arial"/>
          <w:i/>
        </w:rPr>
        <w:t>Rules of the Health Information Privacy Code</w:t>
      </w:r>
    </w:p>
    <w:p w14:paraId="263B2272" w14:textId="77777777" w:rsidR="00D97289" w:rsidRPr="00D97289" w:rsidRDefault="00D97289" w:rsidP="00834393">
      <w:pPr>
        <w:pStyle w:val="NormalWeb"/>
        <w:shd w:val="clear" w:color="auto" w:fill="FFFFFF"/>
        <w:spacing w:before="0" w:beforeAutospacing="0" w:after="60" w:afterAutospacing="0" w:line="360" w:lineRule="atLeast"/>
        <w:rPr>
          <w:rFonts w:ascii="Arial" w:hAnsi="Arial" w:cs="Arial"/>
          <w:sz w:val="22"/>
          <w:szCs w:val="22"/>
        </w:rPr>
      </w:pPr>
      <w:r w:rsidRPr="00D97289">
        <w:rPr>
          <w:rFonts w:ascii="Arial" w:hAnsi="Arial" w:cs="Arial"/>
          <w:sz w:val="22"/>
          <w:szCs w:val="22"/>
        </w:rPr>
        <w:t>The Health Information Privacy Code has twelve rules:</w:t>
      </w:r>
    </w:p>
    <w:p w14:paraId="45A54043" w14:textId="6090C6AC" w:rsidR="00D97289" w:rsidRPr="00D97289" w:rsidRDefault="00D97289" w:rsidP="006D11A9">
      <w:pPr>
        <w:numPr>
          <w:ilvl w:val="0"/>
          <w:numId w:val="19"/>
        </w:numPr>
        <w:shd w:val="clear" w:color="auto" w:fill="FFFFFF"/>
        <w:tabs>
          <w:tab w:val="clear" w:pos="720"/>
          <w:tab w:val="num" w:pos="567"/>
        </w:tabs>
        <w:spacing w:line="270" w:lineRule="atLeast"/>
        <w:ind w:left="567" w:hanging="553"/>
        <w:rPr>
          <w:rFonts w:cs="Arial"/>
          <w:color w:val="auto"/>
          <w:sz w:val="22"/>
          <w:szCs w:val="22"/>
        </w:rPr>
      </w:pPr>
      <w:r w:rsidRPr="00D97289">
        <w:rPr>
          <w:rFonts w:cs="Arial"/>
          <w:color w:val="auto"/>
          <w:sz w:val="22"/>
          <w:szCs w:val="22"/>
        </w:rPr>
        <w:t>Rule 1, Rule 2, Rule 3 and Rule 4 govern the collection of health information. This includes the reasons why health information may be collected, where it may be collected from, and how it is collected.</w:t>
      </w:r>
    </w:p>
    <w:p w14:paraId="6F9F23CD" w14:textId="799940AE" w:rsidR="00D97289" w:rsidRPr="00D97289" w:rsidRDefault="00D97289" w:rsidP="006D11A9">
      <w:pPr>
        <w:numPr>
          <w:ilvl w:val="0"/>
          <w:numId w:val="19"/>
        </w:numPr>
        <w:shd w:val="clear" w:color="auto" w:fill="FFFFFF"/>
        <w:tabs>
          <w:tab w:val="clear" w:pos="720"/>
          <w:tab w:val="num" w:pos="567"/>
        </w:tabs>
        <w:spacing w:line="270" w:lineRule="atLeast"/>
        <w:ind w:left="567" w:hanging="553"/>
        <w:rPr>
          <w:rFonts w:cs="Arial"/>
          <w:color w:val="auto"/>
          <w:sz w:val="22"/>
          <w:szCs w:val="22"/>
        </w:rPr>
      </w:pPr>
      <w:r w:rsidRPr="007057EB">
        <w:rPr>
          <w:rFonts w:cs="Arial"/>
          <w:color w:val="auto"/>
          <w:sz w:val="22"/>
          <w:szCs w:val="22"/>
        </w:rPr>
        <w:t>Rule 5</w:t>
      </w:r>
      <w:r w:rsidRPr="00D97289">
        <w:rPr>
          <w:rFonts w:cs="Arial"/>
          <w:color w:val="auto"/>
          <w:sz w:val="22"/>
          <w:szCs w:val="22"/>
        </w:rPr>
        <w:t> governs the way health information is stored. It is designed to protect health information from unauthorised use or disclosure.</w:t>
      </w:r>
    </w:p>
    <w:p w14:paraId="472D6B08" w14:textId="219A27EE" w:rsidR="00D97289" w:rsidRPr="00D97289" w:rsidRDefault="00D97289" w:rsidP="006D11A9">
      <w:pPr>
        <w:numPr>
          <w:ilvl w:val="0"/>
          <w:numId w:val="19"/>
        </w:numPr>
        <w:shd w:val="clear" w:color="auto" w:fill="FFFFFF"/>
        <w:tabs>
          <w:tab w:val="clear" w:pos="720"/>
          <w:tab w:val="num" w:pos="567"/>
        </w:tabs>
        <w:spacing w:line="270" w:lineRule="atLeast"/>
        <w:ind w:left="567" w:hanging="553"/>
        <w:rPr>
          <w:rFonts w:cs="Arial"/>
          <w:color w:val="auto"/>
          <w:sz w:val="22"/>
          <w:szCs w:val="22"/>
        </w:rPr>
      </w:pPr>
      <w:r w:rsidRPr="007057EB">
        <w:rPr>
          <w:rFonts w:cs="Arial"/>
          <w:color w:val="auto"/>
          <w:sz w:val="22"/>
          <w:szCs w:val="22"/>
        </w:rPr>
        <w:lastRenderedPageBreak/>
        <w:t>Rule 6</w:t>
      </w:r>
      <w:r w:rsidRPr="00D97289">
        <w:rPr>
          <w:rFonts w:cs="Arial"/>
          <w:color w:val="auto"/>
          <w:sz w:val="22"/>
          <w:szCs w:val="22"/>
        </w:rPr>
        <w:t> gives individuals the right to access their health information.</w:t>
      </w:r>
    </w:p>
    <w:p w14:paraId="346FD99D" w14:textId="776662B0" w:rsidR="00D97289" w:rsidRPr="00D97289" w:rsidRDefault="00D97289" w:rsidP="006D11A9">
      <w:pPr>
        <w:numPr>
          <w:ilvl w:val="0"/>
          <w:numId w:val="19"/>
        </w:numPr>
        <w:shd w:val="clear" w:color="auto" w:fill="FFFFFF"/>
        <w:tabs>
          <w:tab w:val="clear" w:pos="720"/>
          <w:tab w:val="num" w:pos="567"/>
        </w:tabs>
        <w:spacing w:line="270" w:lineRule="atLeast"/>
        <w:ind w:left="567" w:hanging="553"/>
        <w:rPr>
          <w:rFonts w:cs="Arial"/>
          <w:color w:val="auto"/>
          <w:sz w:val="22"/>
          <w:szCs w:val="22"/>
        </w:rPr>
      </w:pPr>
      <w:r w:rsidRPr="007057EB">
        <w:rPr>
          <w:rFonts w:cs="Arial"/>
          <w:color w:val="auto"/>
          <w:sz w:val="22"/>
          <w:szCs w:val="22"/>
        </w:rPr>
        <w:t>Rule 7</w:t>
      </w:r>
      <w:r w:rsidRPr="00D97289">
        <w:rPr>
          <w:rFonts w:cs="Arial"/>
          <w:color w:val="auto"/>
          <w:sz w:val="22"/>
          <w:szCs w:val="22"/>
        </w:rPr>
        <w:t> gives individuals the right to correct their health information.</w:t>
      </w:r>
    </w:p>
    <w:p w14:paraId="41FC2F5B" w14:textId="54BF57E5" w:rsidR="00D97289" w:rsidRPr="00D97289" w:rsidRDefault="00D97289" w:rsidP="006D11A9">
      <w:pPr>
        <w:numPr>
          <w:ilvl w:val="0"/>
          <w:numId w:val="19"/>
        </w:numPr>
        <w:shd w:val="clear" w:color="auto" w:fill="FFFFFF"/>
        <w:tabs>
          <w:tab w:val="clear" w:pos="720"/>
          <w:tab w:val="num" w:pos="567"/>
        </w:tabs>
        <w:spacing w:line="270" w:lineRule="atLeast"/>
        <w:ind w:left="567" w:hanging="553"/>
        <w:rPr>
          <w:rFonts w:cs="Arial"/>
          <w:color w:val="auto"/>
          <w:sz w:val="22"/>
          <w:szCs w:val="22"/>
        </w:rPr>
      </w:pPr>
      <w:r w:rsidRPr="007057EB">
        <w:rPr>
          <w:rFonts w:cs="Arial"/>
          <w:color w:val="auto"/>
          <w:sz w:val="22"/>
          <w:szCs w:val="22"/>
        </w:rPr>
        <w:t>Rule 8</w:t>
      </w:r>
      <w:r w:rsidRPr="00D97289">
        <w:rPr>
          <w:rFonts w:cs="Arial"/>
          <w:color w:val="auto"/>
          <w:sz w:val="22"/>
          <w:szCs w:val="22"/>
        </w:rPr>
        <w:t>, </w:t>
      </w:r>
      <w:r w:rsidRPr="007057EB">
        <w:rPr>
          <w:rFonts w:cs="Arial"/>
          <w:color w:val="auto"/>
          <w:sz w:val="22"/>
          <w:szCs w:val="22"/>
        </w:rPr>
        <w:t>Rule 9</w:t>
      </w:r>
      <w:r w:rsidRPr="00D97289">
        <w:rPr>
          <w:rFonts w:cs="Arial"/>
          <w:color w:val="auto"/>
          <w:sz w:val="22"/>
          <w:szCs w:val="22"/>
        </w:rPr>
        <w:t>, </w:t>
      </w:r>
      <w:r w:rsidRPr="007057EB">
        <w:rPr>
          <w:rFonts w:cs="Arial"/>
          <w:color w:val="auto"/>
          <w:sz w:val="22"/>
          <w:szCs w:val="22"/>
        </w:rPr>
        <w:t>Rule 10</w:t>
      </w:r>
      <w:r w:rsidRPr="00D97289">
        <w:rPr>
          <w:rFonts w:cs="Arial"/>
          <w:color w:val="auto"/>
          <w:sz w:val="22"/>
          <w:szCs w:val="22"/>
        </w:rPr>
        <w:t> and </w:t>
      </w:r>
      <w:r w:rsidRPr="007057EB">
        <w:rPr>
          <w:rFonts w:cs="Arial"/>
          <w:color w:val="auto"/>
          <w:sz w:val="22"/>
          <w:szCs w:val="22"/>
        </w:rPr>
        <w:t>Rule 11</w:t>
      </w:r>
      <w:r w:rsidRPr="00D97289">
        <w:rPr>
          <w:rFonts w:cs="Arial"/>
          <w:color w:val="auto"/>
          <w:sz w:val="22"/>
          <w:szCs w:val="22"/>
        </w:rPr>
        <w:t> place restrictions on how people and organisations can use or disclose health information. These include ensuring information is accurate and up-to-date, and that it isn't improperly disclosed.</w:t>
      </w:r>
    </w:p>
    <w:p w14:paraId="02B18F4D" w14:textId="73DB1D8A" w:rsidR="00D97289" w:rsidRPr="00D97289" w:rsidRDefault="00D97289" w:rsidP="006D11A9">
      <w:pPr>
        <w:numPr>
          <w:ilvl w:val="0"/>
          <w:numId w:val="19"/>
        </w:numPr>
        <w:shd w:val="clear" w:color="auto" w:fill="FFFFFF"/>
        <w:tabs>
          <w:tab w:val="clear" w:pos="720"/>
          <w:tab w:val="num" w:pos="567"/>
        </w:tabs>
        <w:spacing w:line="270" w:lineRule="atLeast"/>
        <w:ind w:left="567" w:hanging="553"/>
        <w:rPr>
          <w:rFonts w:cs="Arial"/>
          <w:color w:val="auto"/>
          <w:sz w:val="22"/>
          <w:szCs w:val="22"/>
        </w:rPr>
      </w:pPr>
      <w:r w:rsidRPr="007057EB">
        <w:rPr>
          <w:rFonts w:cs="Arial"/>
          <w:color w:val="auto"/>
          <w:sz w:val="22"/>
          <w:szCs w:val="22"/>
        </w:rPr>
        <w:t>Rule 12</w:t>
      </w:r>
      <w:r w:rsidRPr="00D97289">
        <w:rPr>
          <w:rFonts w:cs="Arial"/>
          <w:color w:val="auto"/>
          <w:sz w:val="22"/>
          <w:szCs w:val="22"/>
        </w:rPr>
        <w:t xml:space="preserve"> governs how "unique identifiers" - such as IRD numbers, bank client numbers, driver's </w:t>
      </w:r>
      <w:r w:rsidR="009C656B" w:rsidRPr="00D97289">
        <w:rPr>
          <w:rFonts w:cs="Arial"/>
          <w:color w:val="auto"/>
          <w:sz w:val="22"/>
          <w:szCs w:val="22"/>
        </w:rPr>
        <w:t>license</w:t>
      </w:r>
      <w:r w:rsidRPr="00D97289">
        <w:rPr>
          <w:rFonts w:cs="Arial"/>
          <w:color w:val="auto"/>
          <w:sz w:val="22"/>
          <w:szCs w:val="22"/>
        </w:rPr>
        <w:t xml:space="preserve"> and passport numbers - can be used.</w:t>
      </w:r>
    </w:p>
    <w:p w14:paraId="4FCE1DB3" w14:textId="58301A09" w:rsidR="00D002AE" w:rsidRPr="003633CA" w:rsidRDefault="00565A28" w:rsidP="00D002AE">
      <w:pPr>
        <w:pStyle w:val="HHLBodyText"/>
        <w:spacing w:before="240"/>
        <w:rPr>
          <w:rFonts w:cs="Arial"/>
          <w:b/>
          <w:sz w:val="22"/>
          <w:szCs w:val="22"/>
        </w:rPr>
      </w:pPr>
      <w:r>
        <w:rPr>
          <w:rFonts w:cs="Arial"/>
          <w:b/>
          <w:sz w:val="22"/>
          <w:szCs w:val="22"/>
        </w:rPr>
        <w:t>R</w:t>
      </w:r>
      <w:r w:rsidR="00D002AE" w:rsidRPr="003633CA">
        <w:rPr>
          <w:rFonts w:cs="Arial"/>
          <w:b/>
          <w:sz w:val="22"/>
          <w:szCs w:val="22"/>
        </w:rPr>
        <w:t>esources</w:t>
      </w:r>
    </w:p>
    <w:bookmarkStart w:id="23" w:name="_Hlk6386036"/>
    <w:p w14:paraId="6D2B5B5F" w14:textId="660304D4" w:rsidR="009B530A" w:rsidRPr="009D7753" w:rsidRDefault="0007043F" w:rsidP="009D7753">
      <w:pPr>
        <w:pStyle w:val="Resourcelist"/>
        <w:spacing w:after="120"/>
        <w:rPr>
          <w:rStyle w:val="Hyperlink"/>
          <w:rFonts w:ascii="Arial" w:hAnsi="Arial" w:cs="Arial"/>
          <w:color w:val="0000FF"/>
        </w:rPr>
      </w:pPr>
      <w:r w:rsidRPr="009D7753">
        <w:rPr>
          <w:rStyle w:val="Hyperlink"/>
          <w:rFonts w:ascii="Arial" w:hAnsi="Arial" w:cs="Arial"/>
          <w:color w:val="0000FF"/>
        </w:rPr>
        <w:fldChar w:fldCharType="begin"/>
      </w:r>
      <w:r w:rsidRPr="009D7753">
        <w:rPr>
          <w:rStyle w:val="Hyperlink"/>
          <w:rFonts w:ascii="Arial" w:hAnsi="Arial" w:cs="Arial"/>
          <w:color w:val="0000FF"/>
        </w:rPr>
        <w:instrText xml:space="preserve"> HYPERLINK "https://privacy.org.nz/" </w:instrText>
      </w:r>
      <w:r w:rsidRPr="009D7753">
        <w:rPr>
          <w:rStyle w:val="Hyperlink"/>
          <w:rFonts w:ascii="Arial" w:hAnsi="Arial" w:cs="Arial"/>
          <w:color w:val="0000FF"/>
        </w:rPr>
        <w:fldChar w:fldCharType="separate"/>
      </w:r>
      <w:r w:rsidR="009B530A" w:rsidRPr="009D7753">
        <w:rPr>
          <w:rStyle w:val="Hyperlink"/>
          <w:rFonts w:ascii="Arial" w:hAnsi="Arial" w:cs="Arial"/>
          <w:color w:val="0000FF"/>
        </w:rPr>
        <w:t>Office of the Privacy Commissioner</w:t>
      </w:r>
      <w:r w:rsidRPr="009D7753">
        <w:rPr>
          <w:rStyle w:val="Hyperlink"/>
          <w:rFonts w:ascii="Arial" w:hAnsi="Arial" w:cs="Arial"/>
          <w:color w:val="0000FF"/>
        </w:rPr>
        <w:fldChar w:fldCharType="end"/>
      </w:r>
    </w:p>
    <w:bookmarkEnd w:id="23"/>
    <w:p w14:paraId="3869E488" w14:textId="0263017C" w:rsidR="0037171D" w:rsidRPr="009D7753" w:rsidRDefault="0037171D" w:rsidP="009D7753">
      <w:pPr>
        <w:pStyle w:val="Resourcelist"/>
        <w:spacing w:after="120"/>
        <w:rPr>
          <w:rStyle w:val="Hyperlink"/>
          <w:rFonts w:ascii="Arial" w:hAnsi="Arial" w:cs="Arial"/>
          <w:color w:val="0000FF"/>
        </w:rPr>
      </w:pPr>
      <w:r w:rsidRPr="009D7753">
        <w:rPr>
          <w:rStyle w:val="Hyperlink"/>
          <w:rFonts w:ascii="Arial" w:hAnsi="Arial" w:cs="Arial"/>
          <w:color w:val="0000FF"/>
        </w:rPr>
        <w:fldChar w:fldCharType="begin"/>
      </w:r>
      <w:r w:rsidRPr="009D7753">
        <w:rPr>
          <w:rStyle w:val="Hyperlink"/>
          <w:rFonts w:ascii="Arial" w:hAnsi="Arial" w:cs="Arial"/>
          <w:color w:val="0000FF"/>
        </w:rPr>
        <w:instrText xml:space="preserve"> HYPERLINK "https://privacy.org.nz/the-privacy-act-and-codes/codes-of-practice/health-information-privacy-code-1994/" </w:instrText>
      </w:r>
      <w:r w:rsidRPr="009D7753">
        <w:rPr>
          <w:rStyle w:val="Hyperlink"/>
          <w:rFonts w:ascii="Arial" w:hAnsi="Arial" w:cs="Arial"/>
          <w:color w:val="0000FF"/>
        </w:rPr>
        <w:fldChar w:fldCharType="separate"/>
      </w:r>
      <w:r w:rsidRPr="009D7753">
        <w:rPr>
          <w:rStyle w:val="Hyperlink"/>
          <w:rFonts w:ascii="Arial" w:hAnsi="Arial" w:cs="Arial"/>
          <w:color w:val="0000FF"/>
        </w:rPr>
        <w:t>Office of the Privacy Commissioner: Health Information Privacy Code 1994</w:t>
      </w:r>
      <w:r w:rsidRPr="009D7753">
        <w:rPr>
          <w:rStyle w:val="Hyperlink"/>
          <w:rFonts w:ascii="Arial" w:hAnsi="Arial" w:cs="Arial"/>
          <w:color w:val="0000FF"/>
        </w:rPr>
        <w:fldChar w:fldCharType="end"/>
      </w:r>
    </w:p>
    <w:p w14:paraId="335D30BE" w14:textId="4C91D93A" w:rsidR="009B530A" w:rsidRPr="009D7753" w:rsidRDefault="00CF1416" w:rsidP="009D7753">
      <w:pPr>
        <w:pStyle w:val="Resourcelist"/>
        <w:spacing w:after="120"/>
        <w:rPr>
          <w:rStyle w:val="Hyperlink"/>
          <w:rFonts w:ascii="Arial" w:hAnsi="Arial" w:cs="Arial"/>
          <w:color w:val="0000FF"/>
        </w:rPr>
      </w:pPr>
      <w:hyperlink r:id="rId27" w:history="1">
        <w:r w:rsidR="006D0B31" w:rsidRPr="009D7753">
          <w:rPr>
            <w:rStyle w:val="Hyperlink"/>
            <w:rFonts w:ascii="Arial" w:hAnsi="Arial" w:cs="Arial"/>
            <w:color w:val="0000FF"/>
          </w:rPr>
          <w:t>Office of the Privacy Commissioner</w:t>
        </w:r>
        <w:r w:rsidR="005512BF" w:rsidRPr="009D7753">
          <w:rPr>
            <w:rStyle w:val="Hyperlink"/>
            <w:rFonts w:ascii="Arial" w:hAnsi="Arial" w:cs="Arial"/>
            <w:color w:val="0000FF"/>
          </w:rPr>
          <w:t>:</w:t>
        </w:r>
        <w:r w:rsidR="006D0B31" w:rsidRPr="009D7753">
          <w:rPr>
            <w:rStyle w:val="Hyperlink"/>
            <w:rFonts w:ascii="Arial" w:hAnsi="Arial" w:cs="Arial"/>
            <w:color w:val="0000FF"/>
          </w:rPr>
          <w:t xml:space="preserve"> </w:t>
        </w:r>
        <w:r w:rsidR="005512BF" w:rsidRPr="009D7753">
          <w:rPr>
            <w:rStyle w:val="Hyperlink"/>
            <w:rFonts w:ascii="Arial" w:hAnsi="Arial" w:cs="Arial"/>
            <w:color w:val="0000FF"/>
          </w:rPr>
          <w:t>Health Privacy Toolkit</w:t>
        </w:r>
      </w:hyperlink>
    </w:p>
    <w:p w14:paraId="00F14F13" w14:textId="573382D9" w:rsidR="009B530A" w:rsidRPr="009D7753" w:rsidRDefault="00CF1416" w:rsidP="009D7753">
      <w:pPr>
        <w:pStyle w:val="Resourcelist"/>
        <w:spacing w:after="120"/>
        <w:rPr>
          <w:rStyle w:val="Hyperlink"/>
          <w:color w:val="0000FF"/>
        </w:rPr>
      </w:pPr>
      <w:hyperlink r:id="rId28" w:history="1">
        <w:r w:rsidR="006D0B31" w:rsidRPr="009D7753">
          <w:rPr>
            <w:rStyle w:val="Hyperlink"/>
            <w:rFonts w:ascii="Arial" w:hAnsi="Arial" w:cs="Arial"/>
            <w:color w:val="0000FF"/>
          </w:rPr>
          <w:t>Office of the Privacy Commissioner</w:t>
        </w:r>
        <w:r w:rsidR="005512BF" w:rsidRPr="009D7753">
          <w:rPr>
            <w:rStyle w:val="Hyperlink"/>
            <w:rFonts w:ascii="Arial" w:hAnsi="Arial" w:cs="Arial"/>
            <w:color w:val="0000FF"/>
          </w:rPr>
          <w:t>:</w:t>
        </w:r>
        <w:r w:rsidR="006D0B31" w:rsidRPr="009D7753">
          <w:rPr>
            <w:rStyle w:val="Hyperlink"/>
            <w:rFonts w:ascii="Arial" w:hAnsi="Arial" w:cs="Arial"/>
            <w:color w:val="0000FF"/>
          </w:rPr>
          <w:t xml:space="preserve"> </w:t>
        </w:r>
        <w:r w:rsidR="009B530A" w:rsidRPr="009D7753">
          <w:rPr>
            <w:rStyle w:val="Hyperlink"/>
            <w:rFonts w:ascii="Arial" w:hAnsi="Arial" w:cs="Arial"/>
            <w:color w:val="0000FF"/>
          </w:rPr>
          <w:t>Free e-learning privacy training modules</w:t>
        </w:r>
      </w:hyperlink>
    </w:p>
    <w:p w14:paraId="325B5A89" w14:textId="77777777" w:rsidR="0084587F" w:rsidRPr="009B530A" w:rsidRDefault="0084587F" w:rsidP="0084587F">
      <w:pPr>
        <w:pStyle w:val="Resourcelist"/>
        <w:ind w:left="568"/>
        <w:rPr>
          <w:rFonts w:ascii="Arial" w:hAnsi="Arial" w:cs="Arial"/>
        </w:rPr>
      </w:pPr>
    </w:p>
    <w:p w14:paraId="544675E1" w14:textId="77777777" w:rsidR="005F5092" w:rsidRPr="003633CA" w:rsidRDefault="005F5092" w:rsidP="003A49F9">
      <w:pPr>
        <w:pStyle w:val="HHLSubHeading"/>
        <w:numPr>
          <w:ilvl w:val="0"/>
          <w:numId w:val="0"/>
        </w:numPr>
        <w:rPr>
          <w:rFonts w:cs="Arial"/>
          <w:sz w:val="22"/>
          <w:szCs w:val="22"/>
        </w:rPr>
      </w:pPr>
    </w:p>
    <w:p w14:paraId="5FCAC37D" w14:textId="77777777" w:rsidR="005F5092" w:rsidRDefault="005F5092" w:rsidP="0002433F">
      <w:pPr>
        <w:pStyle w:val="Resourcelist"/>
        <w:spacing w:after="60"/>
        <w:ind w:left="576" w:hanging="288"/>
        <w:rPr>
          <w:b/>
          <w:color w:val="EE7624"/>
          <w:sz w:val="26"/>
        </w:rPr>
      </w:pPr>
      <w:r>
        <w:br w:type="page"/>
      </w:r>
    </w:p>
    <w:p w14:paraId="533CA2BD" w14:textId="6DE0BDBB" w:rsidR="0059230A" w:rsidRDefault="003A49F9" w:rsidP="006D11A9">
      <w:pPr>
        <w:pStyle w:val="HHLSubHeading"/>
        <w:numPr>
          <w:ilvl w:val="0"/>
          <w:numId w:val="0"/>
        </w:numPr>
        <w:tabs>
          <w:tab w:val="left" w:pos="1560"/>
        </w:tabs>
      </w:pPr>
      <w:bookmarkStart w:id="24" w:name="_Toc6998657"/>
      <w:r w:rsidRPr="00902640">
        <w:lastRenderedPageBreak/>
        <w:t xml:space="preserve">Indicator </w:t>
      </w:r>
      <w:r>
        <w:t>4</w:t>
      </w:r>
      <w:r w:rsidRPr="00902640">
        <w:t>.</w:t>
      </w:r>
      <w:r>
        <w:t xml:space="preserve"> </w:t>
      </w:r>
      <w:r w:rsidR="006D11A9">
        <w:tab/>
      </w:r>
      <w:r w:rsidR="0059230A">
        <w:t>Complaints</w:t>
      </w:r>
      <w:bookmarkEnd w:id="24"/>
    </w:p>
    <w:p w14:paraId="28D12192" w14:textId="7A8EC88E" w:rsidR="003A49F9" w:rsidRPr="0059230A" w:rsidRDefault="003A49F9" w:rsidP="0059230A">
      <w:pPr>
        <w:pStyle w:val="HHLBodyText"/>
        <w:rPr>
          <w:b/>
        </w:rPr>
      </w:pPr>
      <w:r w:rsidRPr="0059230A">
        <w:rPr>
          <w:b/>
        </w:rPr>
        <w:t>Our practice has an active and effect</w:t>
      </w:r>
      <w:r w:rsidR="00DB243F">
        <w:rPr>
          <w:b/>
        </w:rPr>
        <w:t>i</w:t>
      </w:r>
      <w:r w:rsidRPr="0059230A">
        <w:rPr>
          <w:b/>
        </w:rPr>
        <w:t>ve complaints process</w:t>
      </w:r>
      <w:r w:rsidR="006D0B3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36"/>
        <w:gridCol w:w="4050"/>
      </w:tblGrid>
      <w:tr w:rsidR="003A49F9" w:rsidRPr="002E71B3" w14:paraId="635E576A" w14:textId="77777777" w:rsidTr="00370BA3">
        <w:trPr>
          <w:trHeight w:val="506"/>
        </w:trPr>
        <w:tc>
          <w:tcPr>
            <w:tcW w:w="1160" w:type="dxa"/>
            <w:shd w:val="clear" w:color="auto" w:fill="FBD4B4" w:themeFill="accent6" w:themeFillTint="66"/>
          </w:tcPr>
          <w:p w14:paraId="7A019F00" w14:textId="77777777" w:rsidR="003A49F9" w:rsidRPr="002E71B3" w:rsidRDefault="003A49F9" w:rsidP="00300027">
            <w:pPr>
              <w:spacing w:before="120" w:after="120"/>
              <w:rPr>
                <w:b/>
                <w:color w:val="auto"/>
                <w:sz w:val="22"/>
                <w:szCs w:val="22"/>
              </w:rPr>
            </w:pPr>
            <w:r w:rsidRPr="002E71B3">
              <w:rPr>
                <w:b/>
                <w:color w:val="auto"/>
                <w:sz w:val="22"/>
                <w:szCs w:val="22"/>
              </w:rPr>
              <w:t xml:space="preserve">Criteria </w:t>
            </w:r>
          </w:p>
        </w:tc>
        <w:tc>
          <w:tcPr>
            <w:tcW w:w="4596" w:type="dxa"/>
            <w:shd w:val="clear" w:color="auto" w:fill="FBD4B4" w:themeFill="accent6" w:themeFillTint="66"/>
          </w:tcPr>
          <w:p w14:paraId="2B3DAF59" w14:textId="77777777" w:rsidR="003A49F9" w:rsidRPr="002E71B3" w:rsidRDefault="003A49F9" w:rsidP="00300027">
            <w:pPr>
              <w:spacing w:before="120" w:after="120"/>
              <w:rPr>
                <w:b/>
                <w:color w:val="auto"/>
                <w:sz w:val="22"/>
                <w:szCs w:val="22"/>
              </w:rPr>
            </w:pPr>
            <w:r w:rsidRPr="002E71B3">
              <w:rPr>
                <w:b/>
                <w:color w:val="auto"/>
                <w:sz w:val="22"/>
                <w:szCs w:val="22"/>
              </w:rPr>
              <w:t>Your practice is required to:</w:t>
            </w:r>
          </w:p>
        </w:tc>
        <w:tc>
          <w:tcPr>
            <w:tcW w:w="4099" w:type="dxa"/>
            <w:shd w:val="clear" w:color="auto" w:fill="FBD4B4" w:themeFill="accent6" w:themeFillTint="66"/>
          </w:tcPr>
          <w:p w14:paraId="787CB5FB" w14:textId="7946F45D" w:rsidR="003A49F9" w:rsidRPr="002E71B3" w:rsidRDefault="003A49F9" w:rsidP="00300027">
            <w:pPr>
              <w:spacing w:before="120" w:after="120"/>
              <w:rPr>
                <w:b/>
                <w:color w:val="auto"/>
                <w:sz w:val="22"/>
                <w:szCs w:val="22"/>
              </w:rPr>
            </w:pPr>
            <w:r w:rsidRPr="002E71B3">
              <w:rPr>
                <w:b/>
                <w:color w:val="auto"/>
                <w:sz w:val="22"/>
                <w:szCs w:val="22"/>
              </w:rPr>
              <w:t>Required evidence</w:t>
            </w:r>
          </w:p>
        </w:tc>
      </w:tr>
      <w:tr w:rsidR="00600A1D" w:rsidRPr="002E71B3" w14:paraId="1C63959D" w14:textId="77777777" w:rsidTr="00370BA3">
        <w:trPr>
          <w:trHeight w:val="645"/>
        </w:trPr>
        <w:tc>
          <w:tcPr>
            <w:tcW w:w="1160" w:type="dxa"/>
          </w:tcPr>
          <w:p w14:paraId="354C79D1" w14:textId="12481E50" w:rsidR="00600A1D" w:rsidRDefault="00600A1D" w:rsidP="00600A1D">
            <w:pPr>
              <w:spacing w:before="60"/>
              <w:rPr>
                <w:color w:val="auto"/>
                <w:sz w:val="22"/>
                <w:szCs w:val="22"/>
              </w:rPr>
            </w:pPr>
            <w:r>
              <w:rPr>
                <w:color w:val="auto"/>
                <w:sz w:val="22"/>
                <w:szCs w:val="22"/>
              </w:rPr>
              <w:t>4.1</w:t>
            </w:r>
          </w:p>
        </w:tc>
        <w:tc>
          <w:tcPr>
            <w:tcW w:w="4596" w:type="dxa"/>
          </w:tcPr>
          <w:p w14:paraId="51EA0783" w14:textId="40709F97" w:rsidR="00600A1D" w:rsidRPr="00CC4CE1" w:rsidRDefault="000811F8" w:rsidP="00600A1D">
            <w:pPr>
              <w:spacing w:before="60"/>
              <w:rPr>
                <w:color w:val="auto"/>
                <w:sz w:val="22"/>
                <w:szCs w:val="22"/>
              </w:rPr>
            </w:pPr>
            <w:r>
              <w:rPr>
                <w:color w:val="auto"/>
                <w:sz w:val="22"/>
                <w:szCs w:val="22"/>
              </w:rPr>
              <w:t xml:space="preserve">Ensure the </w:t>
            </w:r>
            <w:r w:rsidR="00600A1D" w:rsidRPr="005C452F">
              <w:rPr>
                <w:color w:val="auto"/>
                <w:sz w:val="22"/>
                <w:szCs w:val="22"/>
              </w:rPr>
              <w:t xml:space="preserve">practice </w:t>
            </w:r>
            <w:r>
              <w:rPr>
                <w:color w:val="auto"/>
                <w:sz w:val="22"/>
                <w:szCs w:val="22"/>
              </w:rPr>
              <w:t xml:space="preserve">has a </w:t>
            </w:r>
            <w:r w:rsidR="00785EB8">
              <w:rPr>
                <w:color w:val="auto"/>
                <w:sz w:val="22"/>
                <w:szCs w:val="22"/>
              </w:rPr>
              <w:t>C</w:t>
            </w:r>
            <w:r w:rsidR="00600A1D">
              <w:rPr>
                <w:color w:val="auto"/>
                <w:sz w:val="22"/>
                <w:szCs w:val="22"/>
              </w:rPr>
              <w:t xml:space="preserve">omplaints </w:t>
            </w:r>
            <w:r w:rsidR="00785EB8">
              <w:rPr>
                <w:color w:val="auto"/>
                <w:sz w:val="22"/>
                <w:szCs w:val="22"/>
              </w:rPr>
              <w:t>P</w:t>
            </w:r>
            <w:r w:rsidR="00600A1D" w:rsidRPr="005C452F">
              <w:rPr>
                <w:color w:val="auto"/>
                <w:sz w:val="22"/>
                <w:szCs w:val="22"/>
              </w:rPr>
              <w:t xml:space="preserve">olicy and </w:t>
            </w:r>
            <w:r w:rsidR="00785EB8">
              <w:rPr>
                <w:color w:val="auto"/>
                <w:sz w:val="22"/>
                <w:szCs w:val="22"/>
              </w:rPr>
              <w:t>P</w:t>
            </w:r>
            <w:r w:rsidR="00600A1D" w:rsidRPr="005C452F">
              <w:rPr>
                <w:color w:val="auto"/>
                <w:sz w:val="22"/>
                <w:szCs w:val="22"/>
              </w:rPr>
              <w:t>roce</w:t>
            </w:r>
            <w:r w:rsidR="00600A1D">
              <w:rPr>
                <w:color w:val="auto"/>
                <w:sz w:val="22"/>
                <w:szCs w:val="22"/>
              </w:rPr>
              <w:t>dure</w:t>
            </w:r>
            <w:r w:rsidR="00600A1D" w:rsidRPr="005C452F">
              <w:rPr>
                <w:color w:val="auto"/>
                <w:sz w:val="22"/>
                <w:szCs w:val="22"/>
              </w:rPr>
              <w:t xml:space="preserve"> that aligns to Right 10 </w:t>
            </w:r>
            <w:r w:rsidR="00600A1D">
              <w:rPr>
                <w:color w:val="auto"/>
                <w:sz w:val="22"/>
                <w:szCs w:val="22"/>
              </w:rPr>
              <w:t xml:space="preserve">of the </w:t>
            </w:r>
            <w:r w:rsidR="00600A1D" w:rsidRPr="005C452F">
              <w:rPr>
                <w:color w:val="auto"/>
                <w:sz w:val="22"/>
                <w:szCs w:val="22"/>
              </w:rPr>
              <w:t>Code</w:t>
            </w:r>
            <w:r w:rsidR="00600A1D">
              <w:rPr>
                <w:color w:val="auto"/>
                <w:sz w:val="22"/>
                <w:szCs w:val="22"/>
              </w:rPr>
              <w:t xml:space="preserve"> of Health and Disability Consumers’</w:t>
            </w:r>
            <w:r w:rsidR="00600A1D" w:rsidRPr="005C452F">
              <w:rPr>
                <w:color w:val="auto"/>
                <w:sz w:val="22"/>
                <w:szCs w:val="22"/>
              </w:rPr>
              <w:t xml:space="preserve"> Rights</w:t>
            </w:r>
            <w:r w:rsidR="00785EB8">
              <w:rPr>
                <w:color w:val="auto"/>
                <w:sz w:val="22"/>
                <w:szCs w:val="22"/>
              </w:rPr>
              <w:t>.</w:t>
            </w:r>
          </w:p>
        </w:tc>
        <w:tc>
          <w:tcPr>
            <w:tcW w:w="4099" w:type="dxa"/>
          </w:tcPr>
          <w:p w14:paraId="1A2F1C76" w14:textId="33736886" w:rsidR="00600A1D" w:rsidRDefault="00600A1D" w:rsidP="00600A1D">
            <w:pPr>
              <w:spacing w:before="60"/>
              <w:rPr>
                <w:color w:val="auto"/>
                <w:sz w:val="22"/>
                <w:szCs w:val="22"/>
              </w:rPr>
            </w:pPr>
            <w:r>
              <w:rPr>
                <w:color w:val="auto"/>
                <w:sz w:val="22"/>
                <w:szCs w:val="22"/>
              </w:rPr>
              <w:t xml:space="preserve">A documented practice </w:t>
            </w:r>
            <w:r w:rsidR="00785EB8">
              <w:rPr>
                <w:color w:val="auto"/>
                <w:sz w:val="22"/>
                <w:szCs w:val="22"/>
              </w:rPr>
              <w:t>C</w:t>
            </w:r>
            <w:r>
              <w:rPr>
                <w:color w:val="auto"/>
                <w:sz w:val="22"/>
                <w:szCs w:val="22"/>
              </w:rPr>
              <w:t xml:space="preserve">omplaints </w:t>
            </w:r>
            <w:r w:rsidR="00785EB8">
              <w:rPr>
                <w:color w:val="auto"/>
                <w:sz w:val="22"/>
                <w:szCs w:val="22"/>
              </w:rPr>
              <w:t>P</w:t>
            </w:r>
            <w:r>
              <w:rPr>
                <w:color w:val="auto"/>
                <w:sz w:val="22"/>
                <w:szCs w:val="22"/>
              </w:rPr>
              <w:t xml:space="preserve">olicy and </w:t>
            </w:r>
            <w:r w:rsidR="00785EB8">
              <w:rPr>
                <w:color w:val="auto"/>
                <w:sz w:val="22"/>
                <w:szCs w:val="22"/>
              </w:rPr>
              <w:t>P</w:t>
            </w:r>
            <w:r>
              <w:rPr>
                <w:color w:val="auto"/>
                <w:sz w:val="22"/>
                <w:szCs w:val="22"/>
              </w:rPr>
              <w:t>rocedure.</w:t>
            </w:r>
          </w:p>
        </w:tc>
      </w:tr>
      <w:tr w:rsidR="00600A1D" w:rsidRPr="002E71B3" w14:paraId="4F5DFE12" w14:textId="77777777" w:rsidTr="00370BA3">
        <w:trPr>
          <w:trHeight w:val="645"/>
        </w:trPr>
        <w:tc>
          <w:tcPr>
            <w:tcW w:w="1160" w:type="dxa"/>
          </w:tcPr>
          <w:p w14:paraId="081316F5" w14:textId="55940397" w:rsidR="00600A1D" w:rsidRDefault="00600A1D" w:rsidP="00600A1D">
            <w:pPr>
              <w:spacing w:before="60"/>
              <w:rPr>
                <w:color w:val="auto"/>
                <w:sz w:val="22"/>
                <w:szCs w:val="22"/>
              </w:rPr>
            </w:pPr>
            <w:r>
              <w:rPr>
                <w:color w:val="auto"/>
                <w:sz w:val="22"/>
                <w:szCs w:val="22"/>
              </w:rPr>
              <w:t>4.2</w:t>
            </w:r>
          </w:p>
        </w:tc>
        <w:tc>
          <w:tcPr>
            <w:tcW w:w="4596" w:type="dxa"/>
          </w:tcPr>
          <w:p w14:paraId="5F6461E2" w14:textId="7C507785" w:rsidR="00600A1D" w:rsidRPr="005C452F" w:rsidRDefault="00600A1D" w:rsidP="00600A1D">
            <w:pPr>
              <w:spacing w:before="60"/>
              <w:rPr>
                <w:color w:val="auto"/>
                <w:sz w:val="22"/>
                <w:szCs w:val="22"/>
              </w:rPr>
            </w:pPr>
            <w:r w:rsidRPr="00CD68FB">
              <w:rPr>
                <w:color w:val="auto"/>
                <w:sz w:val="22"/>
                <w:szCs w:val="22"/>
              </w:rPr>
              <w:t xml:space="preserve">Ensure team members are trained to understand and implement the </w:t>
            </w:r>
            <w:r w:rsidR="00785EB8">
              <w:rPr>
                <w:color w:val="auto"/>
                <w:sz w:val="22"/>
                <w:szCs w:val="22"/>
              </w:rPr>
              <w:t>C</w:t>
            </w:r>
            <w:r>
              <w:rPr>
                <w:color w:val="auto"/>
                <w:sz w:val="22"/>
                <w:szCs w:val="22"/>
              </w:rPr>
              <w:t xml:space="preserve">omplaints </w:t>
            </w:r>
            <w:r w:rsidR="00785EB8">
              <w:rPr>
                <w:color w:val="auto"/>
                <w:sz w:val="22"/>
                <w:szCs w:val="22"/>
              </w:rPr>
              <w:t>P</w:t>
            </w:r>
            <w:r>
              <w:rPr>
                <w:color w:val="auto"/>
                <w:sz w:val="22"/>
                <w:szCs w:val="22"/>
              </w:rPr>
              <w:t xml:space="preserve">olicy and </w:t>
            </w:r>
            <w:r w:rsidR="00785EB8">
              <w:rPr>
                <w:color w:val="auto"/>
                <w:sz w:val="22"/>
                <w:szCs w:val="22"/>
              </w:rPr>
              <w:t>P</w:t>
            </w:r>
            <w:r>
              <w:rPr>
                <w:color w:val="auto"/>
                <w:sz w:val="22"/>
                <w:szCs w:val="22"/>
              </w:rPr>
              <w:t>rocedure.</w:t>
            </w:r>
          </w:p>
        </w:tc>
        <w:tc>
          <w:tcPr>
            <w:tcW w:w="4099" w:type="dxa"/>
          </w:tcPr>
          <w:p w14:paraId="38C6F43F" w14:textId="77777777" w:rsidR="00C03BEB" w:rsidRPr="00F628F5" w:rsidRDefault="00C03BEB" w:rsidP="00C03BEB">
            <w:pPr>
              <w:spacing w:before="60"/>
              <w:rPr>
                <w:color w:val="auto"/>
                <w:sz w:val="22"/>
                <w:szCs w:val="22"/>
              </w:rPr>
            </w:pPr>
            <w:r w:rsidRPr="00F628F5">
              <w:rPr>
                <w:color w:val="auto"/>
                <w:sz w:val="22"/>
                <w:szCs w:val="22"/>
              </w:rPr>
              <w:t>Staff training records</w:t>
            </w:r>
            <w:r>
              <w:rPr>
                <w:color w:val="auto"/>
                <w:sz w:val="22"/>
                <w:szCs w:val="22"/>
              </w:rPr>
              <w:t xml:space="preserve"> of completion of the required training.</w:t>
            </w:r>
          </w:p>
          <w:p w14:paraId="290C13BD" w14:textId="4394D83F" w:rsidR="00600A1D" w:rsidRDefault="00600A1D" w:rsidP="00600A1D">
            <w:pPr>
              <w:spacing w:before="60"/>
              <w:rPr>
                <w:color w:val="auto"/>
                <w:sz w:val="22"/>
                <w:szCs w:val="22"/>
              </w:rPr>
            </w:pPr>
          </w:p>
        </w:tc>
      </w:tr>
      <w:tr w:rsidR="00600A1D" w:rsidRPr="002E71B3" w14:paraId="489EB666" w14:textId="77777777" w:rsidTr="00370BA3">
        <w:trPr>
          <w:trHeight w:val="368"/>
        </w:trPr>
        <w:tc>
          <w:tcPr>
            <w:tcW w:w="1160" w:type="dxa"/>
          </w:tcPr>
          <w:p w14:paraId="336F6B19" w14:textId="710F9A43" w:rsidR="00600A1D" w:rsidRPr="002E71B3" w:rsidRDefault="00600A1D" w:rsidP="00600A1D">
            <w:pPr>
              <w:spacing w:before="60"/>
              <w:rPr>
                <w:color w:val="auto"/>
                <w:sz w:val="22"/>
                <w:szCs w:val="22"/>
              </w:rPr>
            </w:pPr>
            <w:r>
              <w:rPr>
                <w:color w:val="auto"/>
                <w:sz w:val="22"/>
                <w:szCs w:val="22"/>
              </w:rPr>
              <w:t>4</w:t>
            </w:r>
            <w:r w:rsidRPr="002E71B3">
              <w:rPr>
                <w:color w:val="auto"/>
                <w:sz w:val="22"/>
                <w:szCs w:val="22"/>
              </w:rPr>
              <w:t>.</w:t>
            </w:r>
            <w:r>
              <w:rPr>
                <w:color w:val="auto"/>
                <w:sz w:val="22"/>
                <w:szCs w:val="22"/>
              </w:rPr>
              <w:t>3</w:t>
            </w:r>
          </w:p>
        </w:tc>
        <w:tc>
          <w:tcPr>
            <w:tcW w:w="4596" w:type="dxa"/>
          </w:tcPr>
          <w:p w14:paraId="546C675C" w14:textId="79CE2C6B" w:rsidR="00600A1D" w:rsidRPr="002E71B3" w:rsidRDefault="00600A1D" w:rsidP="00600A1D">
            <w:pPr>
              <w:spacing w:before="60"/>
              <w:rPr>
                <w:color w:val="auto"/>
                <w:sz w:val="22"/>
                <w:szCs w:val="22"/>
              </w:rPr>
            </w:pPr>
            <w:r w:rsidRPr="005C452F">
              <w:rPr>
                <w:color w:val="auto"/>
                <w:sz w:val="22"/>
                <w:szCs w:val="22"/>
              </w:rPr>
              <w:t>Have a Complaints Officer</w:t>
            </w:r>
            <w:r>
              <w:rPr>
                <w:color w:val="auto"/>
                <w:sz w:val="22"/>
                <w:szCs w:val="22"/>
              </w:rPr>
              <w:t>.</w:t>
            </w:r>
          </w:p>
        </w:tc>
        <w:tc>
          <w:tcPr>
            <w:tcW w:w="4099" w:type="dxa"/>
          </w:tcPr>
          <w:p w14:paraId="15D28756" w14:textId="1910B1AF" w:rsidR="00600A1D" w:rsidRPr="002E71B3" w:rsidRDefault="00920397" w:rsidP="00600A1D">
            <w:pPr>
              <w:spacing w:before="60"/>
              <w:rPr>
                <w:color w:val="auto"/>
                <w:sz w:val="22"/>
                <w:szCs w:val="22"/>
              </w:rPr>
            </w:pPr>
            <w:r>
              <w:rPr>
                <w:color w:val="auto"/>
                <w:sz w:val="22"/>
                <w:szCs w:val="22"/>
              </w:rPr>
              <w:t xml:space="preserve">A designated </w:t>
            </w:r>
            <w:r w:rsidR="00064E90">
              <w:rPr>
                <w:color w:val="auto"/>
                <w:sz w:val="22"/>
                <w:szCs w:val="22"/>
              </w:rPr>
              <w:t>Complaints Officer r</w:t>
            </w:r>
            <w:r w:rsidR="00600A1D" w:rsidRPr="00A27348">
              <w:rPr>
                <w:color w:val="auto"/>
                <w:sz w:val="22"/>
                <w:szCs w:val="22"/>
              </w:rPr>
              <w:t xml:space="preserve">ole and responsibilities </w:t>
            </w:r>
            <w:r>
              <w:rPr>
                <w:color w:val="auto"/>
                <w:sz w:val="22"/>
                <w:szCs w:val="22"/>
              </w:rPr>
              <w:t xml:space="preserve">are </w:t>
            </w:r>
            <w:r w:rsidR="00600A1D" w:rsidRPr="00A27348">
              <w:rPr>
                <w:color w:val="auto"/>
                <w:sz w:val="22"/>
                <w:szCs w:val="22"/>
              </w:rPr>
              <w:t xml:space="preserve">written into a position description </w:t>
            </w:r>
            <w:r>
              <w:rPr>
                <w:color w:val="auto"/>
                <w:sz w:val="22"/>
                <w:szCs w:val="22"/>
              </w:rPr>
              <w:t>and stated</w:t>
            </w:r>
            <w:r w:rsidRPr="00A27348">
              <w:rPr>
                <w:color w:val="auto"/>
                <w:sz w:val="22"/>
                <w:szCs w:val="22"/>
              </w:rPr>
              <w:t xml:space="preserve"> </w:t>
            </w:r>
            <w:r w:rsidR="00600A1D" w:rsidRPr="00A27348">
              <w:rPr>
                <w:color w:val="auto"/>
                <w:sz w:val="22"/>
                <w:szCs w:val="22"/>
              </w:rPr>
              <w:t xml:space="preserve">in the </w:t>
            </w:r>
            <w:r w:rsidR="00600A1D">
              <w:rPr>
                <w:color w:val="auto"/>
                <w:sz w:val="22"/>
                <w:szCs w:val="22"/>
              </w:rPr>
              <w:t>Complaints Policy</w:t>
            </w:r>
            <w:r w:rsidR="00600A1D" w:rsidRPr="00A27348">
              <w:rPr>
                <w:color w:val="auto"/>
                <w:sz w:val="22"/>
                <w:szCs w:val="22"/>
              </w:rPr>
              <w:t>.</w:t>
            </w:r>
          </w:p>
        </w:tc>
      </w:tr>
      <w:tr w:rsidR="00600A1D" w:rsidRPr="002E71B3" w14:paraId="354F8FC3" w14:textId="77777777" w:rsidTr="00370BA3">
        <w:trPr>
          <w:trHeight w:val="384"/>
        </w:trPr>
        <w:tc>
          <w:tcPr>
            <w:tcW w:w="1160" w:type="dxa"/>
          </w:tcPr>
          <w:p w14:paraId="0BC83DD3" w14:textId="0CD47EEC" w:rsidR="00600A1D" w:rsidRDefault="00600A1D" w:rsidP="00600A1D">
            <w:pPr>
              <w:spacing w:before="60"/>
              <w:rPr>
                <w:color w:val="auto"/>
                <w:sz w:val="22"/>
                <w:szCs w:val="22"/>
              </w:rPr>
            </w:pPr>
            <w:r>
              <w:rPr>
                <w:color w:val="auto"/>
                <w:sz w:val="22"/>
                <w:szCs w:val="22"/>
              </w:rPr>
              <w:t>4.4</w:t>
            </w:r>
          </w:p>
        </w:tc>
        <w:tc>
          <w:tcPr>
            <w:tcW w:w="4596" w:type="dxa"/>
          </w:tcPr>
          <w:p w14:paraId="1BF8882B" w14:textId="726B2032" w:rsidR="00600A1D" w:rsidRPr="004C61CD" w:rsidRDefault="00600A1D" w:rsidP="00600A1D">
            <w:pPr>
              <w:spacing w:before="60"/>
              <w:rPr>
                <w:color w:val="auto"/>
                <w:sz w:val="22"/>
                <w:szCs w:val="22"/>
              </w:rPr>
            </w:pPr>
            <w:r w:rsidRPr="005C452F">
              <w:rPr>
                <w:color w:val="auto"/>
                <w:sz w:val="22"/>
                <w:szCs w:val="22"/>
              </w:rPr>
              <w:t xml:space="preserve">Have </w:t>
            </w:r>
            <w:r>
              <w:rPr>
                <w:color w:val="auto"/>
                <w:sz w:val="22"/>
                <w:szCs w:val="22"/>
              </w:rPr>
              <w:t>a</w:t>
            </w:r>
            <w:r w:rsidR="00064E90">
              <w:rPr>
                <w:color w:val="auto"/>
                <w:sz w:val="22"/>
                <w:szCs w:val="22"/>
              </w:rPr>
              <w:t>nd actively use a</w:t>
            </w:r>
            <w:r w:rsidRPr="005C452F">
              <w:rPr>
                <w:color w:val="auto"/>
                <w:sz w:val="22"/>
                <w:szCs w:val="22"/>
              </w:rPr>
              <w:t xml:space="preserve"> complaint</w:t>
            </w:r>
            <w:r w:rsidR="00064E90">
              <w:rPr>
                <w:color w:val="auto"/>
                <w:sz w:val="22"/>
                <w:szCs w:val="22"/>
              </w:rPr>
              <w:t>s</w:t>
            </w:r>
            <w:r w:rsidRPr="005C452F">
              <w:rPr>
                <w:color w:val="auto"/>
                <w:sz w:val="22"/>
                <w:szCs w:val="22"/>
              </w:rPr>
              <w:t xml:space="preserve"> register</w:t>
            </w:r>
            <w:r>
              <w:rPr>
                <w:color w:val="auto"/>
                <w:sz w:val="22"/>
                <w:szCs w:val="22"/>
              </w:rPr>
              <w:t>.</w:t>
            </w:r>
          </w:p>
        </w:tc>
        <w:tc>
          <w:tcPr>
            <w:tcW w:w="4099" w:type="dxa"/>
          </w:tcPr>
          <w:p w14:paraId="288C9C29" w14:textId="647C5566" w:rsidR="00600A1D" w:rsidRPr="004C61CD" w:rsidRDefault="004129DF" w:rsidP="00600A1D">
            <w:pPr>
              <w:spacing w:before="60"/>
              <w:rPr>
                <w:color w:val="auto"/>
                <w:sz w:val="22"/>
                <w:szCs w:val="22"/>
              </w:rPr>
            </w:pPr>
            <w:r>
              <w:rPr>
                <w:color w:val="auto"/>
                <w:sz w:val="22"/>
                <w:szCs w:val="22"/>
              </w:rPr>
              <w:t>A</w:t>
            </w:r>
            <w:r w:rsidR="0076743B">
              <w:rPr>
                <w:color w:val="auto"/>
                <w:sz w:val="22"/>
                <w:szCs w:val="22"/>
              </w:rPr>
              <w:t xml:space="preserve"> </w:t>
            </w:r>
            <w:r>
              <w:rPr>
                <w:color w:val="auto"/>
                <w:sz w:val="22"/>
                <w:szCs w:val="22"/>
              </w:rPr>
              <w:t>current and active complaint</w:t>
            </w:r>
            <w:r w:rsidR="00600A1D">
              <w:rPr>
                <w:color w:val="auto"/>
                <w:sz w:val="22"/>
                <w:szCs w:val="22"/>
              </w:rPr>
              <w:t xml:space="preserve"> register</w:t>
            </w:r>
            <w:r w:rsidR="00064E90">
              <w:rPr>
                <w:color w:val="auto"/>
                <w:sz w:val="22"/>
                <w:szCs w:val="22"/>
              </w:rPr>
              <w:t>.</w:t>
            </w:r>
          </w:p>
        </w:tc>
      </w:tr>
      <w:tr w:rsidR="00600A1D" w:rsidRPr="002E71B3" w14:paraId="3F8C0EBD" w14:textId="77777777" w:rsidTr="00370BA3">
        <w:trPr>
          <w:trHeight w:val="645"/>
        </w:trPr>
        <w:tc>
          <w:tcPr>
            <w:tcW w:w="1160" w:type="dxa"/>
          </w:tcPr>
          <w:p w14:paraId="44110EDB" w14:textId="12335835" w:rsidR="00600A1D" w:rsidRDefault="00600A1D" w:rsidP="00600A1D">
            <w:pPr>
              <w:spacing w:before="60"/>
              <w:rPr>
                <w:color w:val="auto"/>
                <w:sz w:val="22"/>
                <w:szCs w:val="22"/>
              </w:rPr>
            </w:pPr>
            <w:r>
              <w:rPr>
                <w:color w:val="auto"/>
                <w:sz w:val="22"/>
                <w:szCs w:val="22"/>
              </w:rPr>
              <w:t>4.5</w:t>
            </w:r>
          </w:p>
        </w:tc>
        <w:tc>
          <w:tcPr>
            <w:tcW w:w="4596" w:type="dxa"/>
          </w:tcPr>
          <w:p w14:paraId="5D73BCC0" w14:textId="17DA55D6" w:rsidR="00600A1D" w:rsidRPr="00CC4CE1" w:rsidRDefault="00600A1D" w:rsidP="00600A1D">
            <w:pPr>
              <w:spacing w:before="60"/>
              <w:rPr>
                <w:color w:val="auto"/>
                <w:sz w:val="22"/>
                <w:szCs w:val="22"/>
              </w:rPr>
            </w:pPr>
            <w:r w:rsidRPr="005C452F">
              <w:rPr>
                <w:color w:val="auto"/>
                <w:sz w:val="22"/>
                <w:szCs w:val="22"/>
              </w:rPr>
              <w:t>Share learnings and quality improvements within your team</w:t>
            </w:r>
            <w:r w:rsidR="009A3ABB">
              <w:rPr>
                <w:color w:val="auto"/>
                <w:sz w:val="22"/>
                <w:szCs w:val="22"/>
              </w:rPr>
              <w:t xml:space="preserve"> members</w:t>
            </w:r>
            <w:r>
              <w:rPr>
                <w:color w:val="auto"/>
                <w:sz w:val="22"/>
                <w:szCs w:val="22"/>
              </w:rPr>
              <w:t>.</w:t>
            </w:r>
          </w:p>
        </w:tc>
        <w:tc>
          <w:tcPr>
            <w:tcW w:w="4099" w:type="dxa"/>
          </w:tcPr>
          <w:p w14:paraId="3C1CFFBF" w14:textId="3B37BDE2" w:rsidR="00600A1D" w:rsidRPr="00A27348" w:rsidRDefault="0076743B" w:rsidP="00600A1D">
            <w:pPr>
              <w:spacing w:before="60"/>
              <w:rPr>
                <w:color w:val="auto"/>
                <w:sz w:val="22"/>
                <w:szCs w:val="22"/>
              </w:rPr>
            </w:pPr>
            <w:r w:rsidRPr="00A27348">
              <w:rPr>
                <w:color w:val="auto"/>
                <w:sz w:val="22"/>
                <w:szCs w:val="22"/>
              </w:rPr>
              <w:t>Demonstrat</w:t>
            </w:r>
            <w:r>
              <w:rPr>
                <w:color w:val="auto"/>
                <w:sz w:val="22"/>
                <w:szCs w:val="22"/>
              </w:rPr>
              <w:t xml:space="preserve">e </w:t>
            </w:r>
            <w:r w:rsidR="00600A1D" w:rsidRPr="00A27348">
              <w:rPr>
                <w:color w:val="auto"/>
                <w:sz w:val="22"/>
                <w:szCs w:val="22"/>
              </w:rPr>
              <w:t xml:space="preserve">how learnings are </w:t>
            </w:r>
            <w:r w:rsidR="00ED3B10" w:rsidRPr="00A27348">
              <w:rPr>
                <w:color w:val="auto"/>
                <w:sz w:val="22"/>
                <w:szCs w:val="22"/>
              </w:rPr>
              <w:t>shared,</w:t>
            </w:r>
            <w:r w:rsidR="00600A1D" w:rsidRPr="00A27348">
              <w:rPr>
                <w:color w:val="auto"/>
                <w:sz w:val="22"/>
                <w:szCs w:val="22"/>
              </w:rPr>
              <w:t xml:space="preserve"> and improvements are made within the practice.</w:t>
            </w:r>
          </w:p>
        </w:tc>
      </w:tr>
    </w:tbl>
    <w:p w14:paraId="46F7E939" w14:textId="77777777" w:rsidR="00831A94" w:rsidRPr="005B2DE1" w:rsidRDefault="00831A94" w:rsidP="00831A94">
      <w:pPr>
        <w:pStyle w:val="HHLBodyText"/>
        <w:spacing w:before="240"/>
        <w:rPr>
          <w:b/>
          <w:sz w:val="22"/>
          <w:szCs w:val="22"/>
        </w:rPr>
      </w:pPr>
      <w:bookmarkStart w:id="25" w:name="_Hlk4402111"/>
      <w:r w:rsidRPr="005B2DE1">
        <w:rPr>
          <w:b/>
          <w:sz w:val="22"/>
          <w:szCs w:val="22"/>
        </w:rPr>
        <w:t>Required training</w:t>
      </w:r>
    </w:p>
    <w:p w14:paraId="428C67D1" w14:textId="54BC72E4" w:rsidR="00CA2EC4" w:rsidRDefault="00234E1D" w:rsidP="0010368E">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r w:rsidR="00CA2EC4">
        <w:rPr>
          <w:sz w:val="22"/>
          <w:szCs w:val="22"/>
        </w:rPr>
        <w:t xml:space="preserve"> </w:t>
      </w:r>
    </w:p>
    <w:p w14:paraId="140E0254" w14:textId="13B6DC94" w:rsidR="00CD2C0B" w:rsidRDefault="00CD2C0B" w:rsidP="0010368E">
      <w:pPr>
        <w:pStyle w:val="HHLBodyText"/>
        <w:spacing w:before="240"/>
        <w:rPr>
          <w:b/>
          <w:sz w:val="22"/>
          <w:szCs w:val="22"/>
        </w:rPr>
      </w:pPr>
      <w:r w:rsidRPr="005B2DE1">
        <w:rPr>
          <w:b/>
          <w:sz w:val="22"/>
          <w:szCs w:val="22"/>
        </w:rPr>
        <w:t>Guidance notes</w:t>
      </w:r>
    </w:p>
    <w:bookmarkEnd w:id="25"/>
    <w:p w14:paraId="3164574F" w14:textId="43959711" w:rsidR="00494F3A" w:rsidRPr="00494F3A" w:rsidRDefault="00856407" w:rsidP="0010368E">
      <w:pPr>
        <w:pStyle w:val="HHLBodyText"/>
        <w:spacing w:before="0"/>
        <w:rPr>
          <w:i/>
        </w:rPr>
      </w:pPr>
      <w:r w:rsidRPr="00494F3A">
        <w:rPr>
          <w:i/>
        </w:rPr>
        <w:t>Timeframes</w:t>
      </w:r>
    </w:p>
    <w:p w14:paraId="20B43706" w14:textId="558CDD2C" w:rsidR="00CD2C0B" w:rsidRPr="00EC027E" w:rsidRDefault="00CD2C0B" w:rsidP="00CD2C0B">
      <w:pPr>
        <w:rPr>
          <w:rFonts w:cs="Arial"/>
          <w:color w:val="auto"/>
          <w:sz w:val="22"/>
          <w:szCs w:val="22"/>
        </w:rPr>
      </w:pPr>
      <w:r w:rsidRPr="00EC027E">
        <w:rPr>
          <w:rFonts w:cs="Arial"/>
          <w:color w:val="auto"/>
          <w:sz w:val="22"/>
          <w:szCs w:val="22"/>
        </w:rPr>
        <w:t xml:space="preserve">Under the </w:t>
      </w:r>
      <w:r w:rsidR="008769AD" w:rsidRPr="005C452F">
        <w:rPr>
          <w:color w:val="auto"/>
          <w:sz w:val="22"/>
          <w:szCs w:val="22"/>
        </w:rPr>
        <w:t>Code</w:t>
      </w:r>
      <w:r w:rsidR="008769AD">
        <w:rPr>
          <w:color w:val="auto"/>
          <w:sz w:val="22"/>
          <w:szCs w:val="22"/>
        </w:rPr>
        <w:t xml:space="preserve"> of Health and Disability Consumers’</w:t>
      </w:r>
      <w:r w:rsidR="008769AD" w:rsidRPr="005C452F">
        <w:rPr>
          <w:color w:val="auto"/>
          <w:sz w:val="22"/>
          <w:szCs w:val="22"/>
        </w:rPr>
        <w:t xml:space="preserve"> Rights</w:t>
      </w:r>
      <w:r w:rsidRPr="00EC027E">
        <w:rPr>
          <w:rFonts w:cs="Arial"/>
          <w:color w:val="auto"/>
          <w:sz w:val="22"/>
          <w:szCs w:val="22"/>
        </w:rPr>
        <w:t xml:space="preserve"> all complaints must be taken seriously whether made verbally or in writing. Your practice is expected to facilitate a fair, simple, speedy, and efficient resolution of all complaints. </w:t>
      </w:r>
    </w:p>
    <w:p w14:paraId="3CAFADC2" w14:textId="599F425C" w:rsidR="00CD2C0B" w:rsidRDefault="00CD2C0B" w:rsidP="00CD2C0B">
      <w:pPr>
        <w:rPr>
          <w:rFonts w:cs="Arial"/>
          <w:color w:val="auto"/>
          <w:sz w:val="22"/>
          <w:szCs w:val="22"/>
          <w:u w:color="0000FF"/>
        </w:rPr>
      </w:pPr>
      <w:r w:rsidRPr="00EC027E">
        <w:rPr>
          <w:rFonts w:cs="Arial"/>
          <w:color w:val="auto"/>
          <w:sz w:val="22"/>
          <w:szCs w:val="22"/>
        </w:rPr>
        <w:t xml:space="preserve">Your practice’s complaints procedure must be managed to comply with relevant time frames and legal requirements under </w:t>
      </w:r>
      <w:hyperlink r:id="rId29" w:history="1">
        <w:r w:rsidRPr="00EC027E">
          <w:rPr>
            <w:rFonts w:cs="Arial"/>
            <w:color w:val="auto"/>
            <w:sz w:val="22"/>
            <w:szCs w:val="22"/>
            <w:u w:color="0000FF"/>
          </w:rPr>
          <w:t>Right 10 of the Code of Health and Disability Services Consumers’ Rights</w:t>
        </w:r>
      </w:hyperlink>
      <w:r w:rsidR="008C61AD">
        <w:rPr>
          <w:rFonts w:cs="Arial"/>
          <w:color w:val="auto"/>
          <w:sz w:val="22"/>
          <w:szCs w:val="22"/>
          <w:u w:color="0000FF"/>
        </w:rPr>
        <w:t xml:space="preserve"> which are:</w:t>
      </w:r>
    </w:p>
    <w:p w14:paraId="56BEA85A" w14:textId="77777777" w:rsidR="00536450" w:rsidRPr="00B1173C" w:rsidRDefault="00536450" w:rsidP="006D11A9">
      <w:pPr>
        <w:pStyle w:val="ListParagraph"/>
        <w:numPr>
          <w:ilvl w:val="0"/>
          <w:numId w:val="29"/>
        </w:numPr>
        <w:ind w:left="567" w:hanging="567"/>
        <w:contextualSpacing w:val="0"/>
        <w:rPr>
          <w:rFonts w:cs="Arial"/>
          <w:color w:val="auto"/>
          <w:sz w:val="22"/>
          <w:szCs w:val="22"/>
        </w:rPr>
      </w:pPr>
      <w:r w:rsidRPr="00B1173C">
        <w:rPr>
          <w:rFonts w:cs="Arial"/>
          <w:color w:val="auto"/>
          <w:sz w:val="22"/>
          <w:szCs w:val="22"/>
        </w:rPr>
        <w:t>A provider must acknowledge any complaint in writing within 5 working days (Right 10(6)(a)).</w:t>
      </w:r>
    </w:p>
    <w:p w14:paraId="6B4D5E88" w14:textId="77777777" w:rsidR="00536450" w:rsidRPr="00536450" w:rsidRDefault="00536450" w:rsidP="006D11A9">
      <w:pPr>
        <w:pStyle w:val="ListParagraph"/>
        <w:numPr>
          <w:ilvl w:val="0"/>
          <w:numId w:val="29"/>
        </w:numPr>
        <w:spacing w:before="60"/>
        <w:ind w:left="567" w:hanging="567"/>
        <w:contextualSpacing w:val="0"/>
        <w:rPr>
          <w:rFonts w:cs="Arial"/>
          <w:color w:val="auto"/>
          <w:sz w:val="22"/>
          <w:szCs w:val="22"/>
        </w:rPr>
      </w:pPr>
      <w:r w:rsidRPr="00536450">
        <w:rPr>
          <w:rFonts w:cs="Arial"/>
          <w:color w:val="auto"/>
          <w:sz w:val="22"/>
          <w:szCs w:val="22"/>
        </w:rPr>
        <w:t>A decision on whether the complaint is justified or not, or whether more time is needed to investigate the complaint, must be made by the provider within 10 working days of giving written acknowledgement of receipt of the complaint (Right 10(7)).</w:t>
      </w:r>
    </w:p>
    <w:p w14:paraId="12307F72" w14:textId="77777777" w:rsidR="00536450" w:rsidRPr="00536450" w:rsidRDefault="00536450" w:rsidP="006D11A9">
      <w:pPr>
        <w:pStyle w:val="ListParagraph"/>
        <w:numPr>
          <w:ilvl w:val="0"/>
          <w:numId w:val="29"/>
        </w:numPr>
        <w:spacing w:before="60"/>
        <w:ind w:left="567" w:hanging="567"/>
        <w:contextualSpacing w:val="0"/>
        <w:rPr>
          <w:rFonts w:cs="Arial"/>
          <w:color w:val="auto"/>
          <w:sz w:val="22"/>
          <w:szCs w:val="22"/>
        </w:rPr>
      </w:pPr>
      <w:r w:rsidRPr="00536450">
        <w:rPr>
          <w:rFonts w:cs="Arial"/>
          <w:color w:val="auto"/>
          <w:sz w:val="22"/>
          <w:szCs w:val="22"/>
        </w:rPr>
        <w:t>If the decision is that more time is needed to investigate the complaint, and that more than 20 additional working days will be required, the provider must inform the consumer of that (with reasons) within the 10 working days timeframe (Right 10(7)(b)(ii)).</w:t>
      </w:r>
    </w:p>
    <w:p w14:paraId="6995EB96" w14:textId="77777777" w:rsidR="00536450" w:rsidRPr="00536450" w:rsidRDefault="00536450" w:rsidP="006D11A9">
      <w:pPr>
        <w:pStyle w:val="ListParagraph"/>
        <w:numPr>
          <w:ilvl w:val="0"/>
          <w:numId w:val="29"/>
        </w:numPr>
        <w:spacing w:before="60"/>
        <w:ind w:left="567" w:hanging="567"/>
        <w:contextualSpacing w:val="0"/>
        <w:rPr>
          <w:rFonts w:cs="Arial"/>
          <w:color w:val="auto"/>
          <w:sz w:val="22"/>
          <w:szCs w:val="22"/>
        </w:rPr>
      </w:pPr>
      <w:r w:rsidRPr="00536450">
        <w:rPr>
          <w:rFonts w:cs="Arial"/>
          <w:color w:val="auto"/>
          <w:sz w:val="22"/>
          <w:szCs w:val="22"/>
        </w:rPr>
        <w:t>If the decision is whether or not the complaint is justified, the consumer must be informed of that decision (with reasons, any proposed actions, and any appeal procedure) “as soon as practicable” after making the decision (Right 10(8)).</w:t>
      </w:r>
    </w:p>
    <w:p w14:paraId="377BDC05" w14:textId="77777777" w:rsidR="00536450" w:rsidRPr="00536450" w:rsidRDefault="00536450" w:rsidP="006D11A9">
      <w:pPr>
        <w:pStyle w:val="ListParagraph"/>
        <w:numPr>
          <w:ilvl w:val="0"/>
          <w:numId w:val="29"/>
        </w:numPr>
        <w:spacing w:before="60"/>
        <w:ind w:left="567" w:hanging="567"/>
        <w:contextualSpacing w:val="0"/>
        <w:rPr>
          <w:rFonts w:cs="Arial"/>
          <w:color w:val="auto"/>
          <w:sz w:val="22"/>
          <w:szCs w:val="22"/>
        </w:rPr>
      </w:pPr>
      <w:r w:rsidRPr="00536450">
        <w:rPr>
          <w:rFonts w:cs="Arial"/>
          <w:color w:val="auto"/>
          <w:sz w:val="22"/>
          <w:szCs w:val="22"/>
        </w:rPr>
        <w:t>The provider must give progress updates to the consumer at intervals of not more than one month (Right 10(4)) where a complaint is ongoing.</w:t>
      </w:r>
    </w:p>
    <w:p w14:paraId="1879460E" w14:textId="77777777" w:rsidR="00665DDE" w:rsidRPr="00A52B74" w:rsidRDefault="00665DDE" w:rsidP="005C0014">
      <w:pPr>
        <w:pStyle w:val="HHLBodyText"/>
        <w:spacing w:before="240"/>
        <w:rPr>
          <w:i/>
        </w:rPr>
      </w:pPr>
      <w:r w:rsidRPr="00A52B74">
        <w:rPr>
          <w:i/>
        </w:rPr>
        <w:t>Complaints officer</w:t>
      </w:r>
    </w:p>
    <w:p w14:paraId="5FB770FA" w14:textId="18E6CDDC" w:rsidR="00EC77AF" w:rsidRPr="00EC027E" w:rsidRDefault="00EC77AF" w:rsidP="00EC77AF">
      <w:pPr>
        <w:rPr>
          <w:rFonts w:cs="Arial"/>
          <w:color w:val="auto"/>
          <w:sz w:val="22"/>
          <w:szCs w:val="22"/>
        </w:rPr>
      </w:pPr>
      <w:r w:rsidRPr="00EC027E">
        <w:rPr>
          <w:rFonts w:cs="Arial"/>
          <w:color w:val="auto"/>
          <w:sz w:val="22"/>
          <w:szCs w:val="22"/>
        </w:rPr>
        <w:t xml:space="preserve">You </w:t>
      </w:r>
      <w:r w:rsidR="005678ED">
        <w:rPr>
          <w:rFonts w:cs="Arial"/>
          <w:color w:val="auto"/>
          <w:sz w:val="22"/>
          <w:szCs w:val="22"/>
        </w:rPr>
        <w:t>must</w:t>
      </w:r>
      <w:r w:rsidRPr="00EC027E">
        <w:rPr>
          <w:rFonts w:cs="Arial"/>
          <w:color w:val="auto"/>
          <w:sz w:val="22"/>
          <w:szCs w:val="22"/>
        </w:rPr>
        <w:t xml:space="preserve"> have a person </w:t>
      </w:r>
      <w:r>
        <w:rPr>
          <w:rFonts w:cs="Arial"/>
          <w:color w:val="auto"/>
          <w:sz w:val="22"/>
          <w:szCs w:val="22"/>
        </w:rPr>
        <w:t xml:space="preserve">designated as a complaints officer </w:t>
      </w:r>
      <w:r w:rsidRPr="00EC027E">
        <w:rPr>
          <w:rFonts w:cs="Arial"/>
          <w:color w:val="auto"/>
          <w:sz w:val="22"/>
          <w:szCs w:val="22"/>
        </w:rPr>
        <w:t xml:space="preserve">(or team) assigned to take responsibility for managing the complaints process. </w:t>
      </w:r>
    </w:p>
    <w:p w14:paraId="1A06E711" w14:textId="77777777" w:rsidR="00EC77AF" w:rsidRPr="00EC027E" w:rsidRDefault="00EC77AF" w:rsidP="00EC77AF">
      <w:pPr>
        <w:rPr>
          <w:rFonts w:cs="Arial"/>
          <w:color w:val="auto"/>
          <w:sz w:val="22"/>
          <w:szCs w:val="22"/>
        </w:rPr>
      </w:pPr>
      <w:r>
        <w:rPr>
          <w:rFonts w:cs="Arial"/>
          <w:color w:val="auto"/>
          <w:sz w:val="22"/>
          <w:szCs w:val="22"/>
        </w:rPr>
        <w:t>All practice</w:t>
      </w:r>
      <w:r w:rsidRPr="00EC027E">
        <w:rPr>
          <w:rFonts w:cs="Arial"/>
          <w:color w:val="auto"/>
          <w:sz w:val="22"/>
          <w:szCs w:val="22"/>
        </w:rPr>
        <w:t xml:space="preserve"> staff, including locums, </w:t>
      </w:r>
      <w:r>
        <w:rPr>
          <w:rFonts w:cs="Arial"/>
          <w:color w:val="auto"/>
          <w:sz w:val="22"/>
          <w:szCs w:val="22"/>
        </w:rPr>
        <w:t xml:space="preserve">must </w:t>
      </w:r>
      <w:r w:rsidRPr="00EC027E">
        <w:rPr>
          <w:rFonts w:cs="Arial"/>
          <w:color w:val="auto"/>
          <w:sz w:val="22"/>
          <w:szCs w:val="22"/>
        </w:rPr>
        <w:t>know who this is.</w:t>
      </w:r>
    </w:p>
    <w:p w14:paraId="15DB3931" w14:textId="6F98F951" w:rsidR="00EC77AF" w:rsidRDefault="00EC77AF" w:rsidP="00EC77AF">
      <w:pPr>
        <w:rPr>
          <w:rFonts w:cs="Arial"/>
          <w:color w:val="auto"/>
          <w:sz w:val="22"/>
          <w:szCs w:val="22"/>
        </w:rPr>
      </w:pPr>
      <w:r w:rsidRPr="00EC027E">
        <w:rPr>
          <w:rFonts w:cs="Arial"/>
          <w:color w:val="auto"/>
          <w:sz w:val="22"/>
          <w:szCs w:val="22"/>
        </w:rPr>
        <w:lastRenderedPageBreak/>
        <w:t xml:space="preserve">Your complaints officer must be able to </w:t>
      </w:r>
      <w:r>
        <w:rPr>
          <w:rFonts w:cs="Arial"/>
          <w:color w:val="auto"/>
          <w:sz w:val="22"/>
          <w:szCs w:val="22"/>
        </w:rPr>
        <w:t>clearly explain the policy and proce</w:t>
      </w:r>
      <w:r w:rsidR="005678ED">
        <w:rPr>
          <w:rFonts w:cs="Arial"/>
          <w:color w:val="auto"/>
          <w:sz w:val="22"/>
          <w:szCs w:val="22"/>
        </w:rPr>
        <w:t>dure</w:t>
      </w:r>
      <w:r>
        <w:rPr>
          <w:rFonts w:cs="Arial"/>
          <w:color w:val="auto"/>
          <w:sz w:val="22"/>
          <w:szCs w:val="22"/>
        </w:rPr>
        <w:t xml:space="preserve"> </w:t>
      </w:r>
      <w:r w:rsidRPr="00EC027E">
        <w:rPr>
          <w:rFonts w:cs="Arial"/>
          <w:color w:val="auto"/>
          <w:sz w:val="22"/>
          <w:szCs w:val="22"/>
        </w:rPr>
        <w:t xml:space="preserve">and demonstrate how they manage complaints. </w:t>
      </w:r>
    </w:p>
    <w:p w14:paraId="14709593" w14:textId="216953B0" w:rsidR="00C233AB" w:rsidRPr="00C233AB" w:rsidRDefault="00C233AB" w:rsidP="00FF1E99">
      <w:pPr>
        <w:spacing w:before="240"/>
        <w:rPr>
          <w:i/>
          <w:color w:val="auto"/>
          <w:sz w:val="24"/>
        </w:rPr>
      </w:pPr>
      <w:r w:rsidRPr="00C233AB">
        <w:rPr>
          <w:i/>
          <w:color w:val="auto"/>
          <w:sz w:val="24"/>
        </w:rPr>
        <w:t>Complaints</w:t>
      </w:r>
      <w:r w:rsidR="00FF1E99">
        <w:rPr>
          <w:i/>
          <w:color w:val="auto"/>
          <w:sz w:val="24"/>
        </w:rPr>
        <w:t xml:space="preserve"> Register</w:t>
      </w:r>
    </w:p>
    <w:p w14:paraId="0F5AC670" w14:textId="57509E3C" w:rsidR="00B770E1" w:rsidRPr="00EC027E" w:rsidRDefault="00B770E1" w:rsidP="00B770E1">
      <w:pPr>
        <w:rPr>
          <w:rFonts w:cs="Arial"/>
          <w:color w:val="auto"/>
          <w:sz w:val="22"/>
          <w:szCs w:val="22"/>
        </w:rPr>
      </w:pPr>
      <w:r>
        <w:rPr>
          <w:rFonts w:cs="Arial"/>
          <w:color w:val="auto"/>
          <w:sz w:val="22"/>
          <w:szCs w:val="22"/>
        </w:rPr>
        <w:t xml:space="preserve">Have a </w:t>
      </w:r>
      <w:r w:rsidRPr="00EC027E">
        <w:rPr>
          <w:rFonts w:cs="Arial"/>
          <w:color w:val="auto"/>
          <w:sz w:val="22"/>
          <w:szCs w:val="22"/>
        </w:rPr>
        <w:t xml:space="preserve">complaint register. This is a comprehensive record of complaints and how they are handled. </w:t>
      </w:r>
      <w:r>
        <w:rPr>
          <w:rFonts w:cs="Arial"/>
          <w:color w:val="auto"/>
          <w:sz w:val="22"/>
          <w:szCs w:val="22"/>
        </w:rPr>
        <w:t xml:space="preserve">Document the dates and details </w:t>
      </w:r>
      <w:r w:rsidRPr="00EC027E">
        <w:rPr>
          <w:rFonts w:cs="Arial"/>
          <w:color w:val="auto"/>
          <w:sz w:val="22"/>
          <w:szCs w:val="22"/>
        </w:rPr>
        <w:t xml:space="preserve">of any actions taken, any outcome (including reasons and remedies) in chronological order. </w:t>
      </w:r>
    </w:p>
    <w:p w14:paraId="0B2BFB08" w14:textId="77777777" w:rsidR="00CD2C0B" w:rsidRPr="00351228" w:rsidRDefault="00CD2C0B" w:rsidP="00CD2C0B">
      <w:pPr>
        <w:pStyle w:val="HHLBodyText"/>
        <w:spacing w:before="240"/>
        <w:rPr>
          <w:rFonts w:cs="Arial"/>
          <w:b/>
          <w:sz w:val="22"/>
          <w:szCs w:val="22"/>
        </w:rPr>
      </w:pPr>
      <w:bookmarkStart w:id="26" w:name="_Hlk4401632"/>
      <w:r>
        <w:rPr>
          <w:rFonts w:cs="Arial"/>
          <w:b/>
          <w:sz w:val="22"/>
          <w:szCs w:val="22"/>
        </w:rPr>
        <w:t>R</w:t>
      </w:r>
      <w:r w:rsidRPr="003633CA">
        <w:rPr>
          <w:rFonts w:cs="Arial"/>
          <w:b/>
          <w:sz w:val="22"/>
          <w:szCs w:val="22"/>
        </w:rPr>
        <w:t>esources</w:t>
      </w:r>
    </w:p>
    <w:bookmarkEnd w:id="26"/>
    <w:p w14:paraId="64B133B9" w14:textId="44765BFB" w:rsidR="00EB6946" w:rsidRPr="009D7753" w:rsidRDefault="00CE2A00" w:rsidP="009D7753">
      <w:pPr>
        <w:pStyle w:val="Resourcelist"/>
        <w:spacing w:after="120"/>
        <w:rPr>
          <w:rStyle w:val="Hyperlink"/>
          <w:color w:val="0000FF"/>
        </w:rPr>
      </w:pPr>
      <w:r w:rsidRPr="009D7753">
        <w:rPr>
          <w:rStyle w:val="Hyperlink"/>
          <w:color w:val="0000FF"/>
        </w:rPr>
        <w:fldChar w:fldCharType="begin"/>
      </w:r>
      <w:r w:rsidRPr="009D7753">
        <w:rPr>
          <w:rStyle w:val="Hyperlink"/>
          <w:color w:val="0000FF"/>
        </w:rPr>
        <w:instrText xml:space="preserve"> HYPERLINK "https://www.hdc.org.nz/disability/the-code-and-your-rights/" </w:instrText>
      </w:r>
      <w:r w:rsidRPr="009D7753">
        <w:rPr>
          <w:rStyle w:val="Hyperlink"/>
          <w:color w:val="0000FF"/>
        </w:rPr>
        <w:fldChar w:fldCharType="separate"/>
      </w:r>
      <w:r w:rsidRPr="00BE070F">
        <w:rPr>
          <w:rStyle w:val="Hyperlink"/>
          <w:rFonts w:ascii="Arial" w:hAnsi="Arial" w:cs="Arial"/>
          <w:color w:val="0000FF"/>
        </w:rPr>
        <w:t>Health and Disability Commissioner</w:t>
      </w:r>
      <w:r w:rsidR="00DA7EA4">
        <w:rPr>
          <w:rStyle w:val="Hyperlink"/>
          <w:rFonts w:ascii="Arial" w:hAnsi="Arial" w:cs="Arial"/>
          <w:color w:val="0000FF"/>
        </w:rPr>
        <w:t>:</w:t>
      </w:r>
      <w:r w:rsidRPr="00BE070F">
        <w:rPr>
          <w:rStyle w:val="Hyperlink"/>
          <w:rFonts w:ascii="Arial" w:hAnsi="Arial" w:cs="Arial"/>
          <w:color w:val="0000FF"/>
        </w:rPr>
        <w:t xml:space="preserve"> </w:t>
      </w:r>
      <w:r w:rsidR="00EB6946" w:rsidRPr="00BE070F">
        <w:rPr>
          <w:rStyle w:val="Hyperlink"/>
          <w:rFonts w:ascii="Arial" w:hAnsi="Arial" w:cs="Arial"/>
          <w:color w:val="0000FF"/>
        </w:rPr>
        <w:t>The Code of Health and Disability Services Consumers’ Rights 1996</w:t>
      </w:r>
      <w:r w:rsidRPr="009D7753">
        <w:rPr>
          <w:rStyle w:val="Hyperlink"/>
          <w:color w:val="0000FF"/>
        </w:rPr>
        <w:fldChar w:fldCharType="end"/>
      </w:r>
    </w:p>
    <w:p w14:paraId="5D62C428" w14:textId="0262B7C2" w:rsidR="003576C4" w:rsidRPr="009D7753" w:rsidRDefault="00CF1416" w:rsidP="009D7753">
      <w:pPr>
        <w:pStyle w:val="Resourcelist"/>
        <w:spacing w:after="120"/>
        <w:rPr>
          <w:rStyle w:val="Hyperlink"/>
          <w:rFonts w:ascii="Arial" w:hAnsi="Arial" w:cs="Arial"/>
          <w:color w:val="0000FF"/>
        </w:rPr>
      </w:pPr>
      <w:hyperlink r:id="rId30" w:history="1">
        <w:r w:rsidR="003576C4" w:rsidRPr="00BE070F">
          <w:rPr>
            <w:rStyle w:val="Hyperlink"/>
            <w:rFonts w:ascii="Arial" w:hAnsi="Arial" w:cs="Arial"/>
            <w:color w:val="0000FF"/>
          </w:rPr>
          <w:t>Health and Disability Commissioner</w:t>
        </w:r>
        <w:r w:rsidR="00DA7EA4">
          <w:rPr>
            <w:rStyle w:val="Hyperlink"/>
            <w:rFonts w:ascii="Arial" w:hAnsi="Arial" w:cs="Arial"/>
            <w:color w:val="0000FF"/>
          </w:rPr>
          <w:t>:</w:t>
        </w:r>
        <w:r w:rsidR="003576C4" w:rsidRPr="00BE070F">
          <w:rPr>
            <w:rStyle w:val="Hyperlink"/>
            <w:rFonts w:ascii="Arial" w:hAnsi="Arial" w:cs="Arial"/>
            <w:color w:val="0000FF"/>
          </w:rPr>
          <w:t xml:space="preserve"> Complaints management guide</w:t>
        </w:r>
      </w:hyperlink>
    </w:p>
    <w:p w14:paraId="0A0E60A0" w14:textId="77D3AFD1" w:rsidR="003576C4" w:rsidRPr="009D7753" w:rsidRDefault="00CF1416" w:rsidP="009D7753">
      <w:pPr>
        <w:pStyle w:val="Resourcelist"/>
        <w:spacing w:after="120"/>
        <w:rPr>
          <w:rStyle w:val="Hyperlink"/>
          <w:rFonts w:ascii="Arial" w:hAnsi="Arial" w:cs="Arial"/>
          <w:color w:val="0000FF"/>
        </w:rPr>
      </w:pPr>
      <w:hyperlink r:id="rId31" w:history="1">
        <w:r w:rsidR="003576C4" w:rsidRPr="009D7753">
          <w:rPr>
            <w:rStyle w:val="Hyperlink"/>
            <w:rFonts w:ascii="Arial" w:hAnsi="Arial" w:cs="Arial"/>
            <w:color w:val="0000FF"/>
          </w:rPr>
          <w:t>Health and Disability Commissioner</w:t>
        </w:r>
        <w:r w:rsidR="00DA7EA4" w:rsidRPr="009D7753">
          <w:rPr>
            <w:rStyle w:val="Hyperlink"/>
            <w:rFonts w:ascii="Arial" w:hAnsi="Arial" w:cs="Arial"/>
            <w:color w:val="0000FF"/>
          </w:rPr>
          <w:t>:</w:t>
        </w:r>
        <w:r w:rsidR="003576C4" w:rsidRPr="009D7753">
          <w:rPr>
            <w:rStyle w:val="Hyperlink"/>
            <w:rFonts w:ascii="Arial" w:hAnsi="Arial" w:cs="Arial"/>
            <w:color w:val="0000FF"/>
          </w:rPr>
          <w:t xml:space="preserve"> Timeframes for Responding to Complaints under Right 10 of the Code (Fact Sheet 3)</w:t>
        </w:r>
      </w:hyperlink>
    </w:p>
    <w:p w14:paraId="16E6AB35" w14:textId="77777777" w:rsidR="003576C4" w:rsidRPr="009D7753" w:rsidRDefault="00CF1416" w:rsidP="009D7753">
      <w:pPr>
        <w:pStyle w:val="Resourcelist"/>
        <w:spacing w:after="120"/>
        <w:rPr>
          <w:rStyle w:val="Hyperlink"/>
          <w:rFonts w:ascii="Arial" w:hAnsi="Arial" w:cs="Arial"/>
          <w:color w:val="0000FF"/>
        </w:rPr>
      </w:pPr>
      <w:hyperlink r:id="rId32" w:history="1">
        <w:r w:rsidR="003576C4" w:rsidRPr="00BE070F">
          <w:rPr>
            <w:rStyle w:val="Hyperlink"/>
            <w:rFonts w:ascii="Arial" w:hAnsi="Arial" w:cs="Arial"/>
            <w:color w:val="0000FF"/>
          </w:rPr>
          <w:t>Office of the Ombudsman Tari o te Kaitiaki Mana Tangata: Effective complaint handling</w:t>
        </w:r>
      </w:hyperlink>
    </w:p>
    <w:p w14:paraId="6086C9AB" w14:textId="7E0C65BB" w:rsidR="007A4EB4" w:rsidRPr="009D7753" w:rsidRDefault="00CF1416" w:rsidP="009D7753">
      <w:pPr>
        <w:pStyle w:val="Resourcelist"/>
        <w:spacing w:after="120"/>
        <w:rPr>
          <w:rStyle w:val="Hyperlink"/>
          <w:rFonts w:ascii="Arial" w:hAnsi="Arial" w:cs="Arial"/>
          <w:color w:val="0000FF"/>
        </w:rPr>
      </w:pPr>
      <w:hyperlink r:id="rId33" w:history="1">
        <w:r w:rsidR="00EB6946" w:rsidRPr="00BE070F">
          <w:rPr>
            <w:rStyle w:val="Hyperlink"/>
            <w:rFonts w:ascii="Arial" w:hAnsi="Arial" w:cs="Arial"/>
            <w:color w:val="0000FF"/>
          </w:rPr>
          <w:t>Health and Disability Commissioner</w:t>
        </w:r>
        <w:r w:rsidR="00DA7EA4">
          <w:rPr>
            <w:rStyle w:val="Hyperlink"/>
            <w:rFonts w:ascii="Arial" w:hAnsi="Arial" w:cs="Arial"/>
            <w:color w:val="0000FF"/>
          </w:rPr>
          <w:t>:</w:t>
        </w:r>
        <w:r w:rsidR="00EB6946" w:rsidRPr="00BE070F">
          <w:rPr>
            <w:rStyle w:val="Hyperlink"/>
            <w:rFonts w:ascii="Arial" w:hAnsi="Arial" w:cs="Arial"/>
            <w:color w:val="0000FF"/>
          </w:rPr>
          <w:t xml:space="preserve"> Learning from complaints leaflet</w:t>
        </w:r>
      </w:hyperlink>
    </w:p>
    <w:p w14:paraId="7031CFD4" w14:textId="4AFB6FD5" w:rsidR="00EB6946" w:rsidRDefault="00EB6946" w:rsidP="003576C4">
      <w:pPr>
        <w:pStyle w:val="Resourcelist"/>
        <w:spacing w:after="60"/>
        <w:ind w:left="288"/>
        <w:rPr>
          <w:rStyle w:val="Hyperlink"/>
          <w:color w:val="0000FF"/>
        </w:rPr>
      </w:pPr>
    </w:p>
    <w:p w14:paraId="3AB07532" w14:textId="4B1BFD24" w:rsidR="00C77ADD" w:rsidRDefault="00C77ADD">
      <w:pPr>
        <w:spacing w:after="0"/>
        <w:rPr>
          <w:b/>
          <w:color w:val="EE7624"/>
          <w:sz w:val="26"/>
        </w:rPr>
      </w:pPr>
      <w:r>
        <w:br w:type="page"/>
      </w:r>
    </w:p>
    <w:p w14:paraId="59FF4A96" w14:textId="2A9AE4BC" w:rsidR="0059230A" w:rsidRDefault="00B5168E" w:rsidP="006D11A9">
      <w:pPr>
        <w:pStyle w:val="HHLSubHeading"/>
        <w:numPr>
          <w:ilvl w:val="0"/>
          <w:numId w:val="0"/>
        </w:numPr>
        <w:tabs>
          <w:tab w:val="left" w:pos="1560"/>
        </w:tabs>
      </w:pPr>
      <w:bookmarkStart w:id="27" w:name="_Toc6998658"/>
      <w:r w:rsidRPr="00902640">
        <w:lastRenderedPageBreak/>
        <w:t xml:space="preserve">Indicator </w:t>
      </w:r>
      <w:r>
        <w:t>5</w:t>
      </w:r>
      <w:r w:rsidRPr="00902640">
        <w:t>.</w:t>
      </w:r>
      <w:r w:rsidR="006D11A9">
        <w:tab/>
      </w:r>
      <w:r w:rsidR="0059230A">
        <w:t>Informed decision</w:t>
      </w:r>
      <w:r w:rsidR="000B2658">
        <w:t xml:space="preserve"> making</w:t>
      </w:r>
      <w:bookmarkEnd w:id="27"/>
    </w:p>
    <w:p w14:paraId="02A18AA3" w14:textId="0AF7A846" w:rsidR="00B5168E" w:rsidRPr="0059230A" w:rsidRDefault="00B5168E" w:rsidP="0059230A">
      <w:pPr>
        <w:pStyle w:val="HHLBodyText"/>
        <w:rPr>
          <w:b/>
        </w:rPr>
      </w:pPr>
      <w:r w:rsidRPr="0059230A">
        <w:rPr>
          <w:b/>
        </w:rPr>
        <w:t>Our practice provides and explains relevant information to patients to enable them to make informed decisions about their health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43"/>
        <w:gridCol w:w="4048"/>
      </w:tblGrid>
      <w:tr w:rsidR="00B5168E" w:rsidRPr="002E71B3" w14:paraId="793D1C58" w14:textId="77777777" w:rsidTr="0087374D">
        <w:tc>
          <w:tcPr>
            <w:tcW w:w="1153" w:type="dxa"/>
            <w:shd w:val="clear" w:color="auto" w:fill="FBD4B4" w:themeFill="accent6" w:themeFillTint="66"/>
          </w:tcPr>
          <w:p w14:paraId="0A50483D" w14:textId="77777777" w:rsidR="00B5168E" w:rsidRPr="002E71B3" w:rsidRDefault="00B5168E" w:rsidP="00300027">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44F00868" w14:textId="77777777" w:rsidR="00B5168E" w:rsidRPr="002E71B3" w:rsidRDefault="00B5168E" w:rsidP="00300027">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477F49C0" w14:textId="5B12BF6F" w:rsidR="00B5168E" w:rsidRPr="002E71B3" w:rsidRDefault="00B5168E" w:rsidP="00300027">
            <w:pPr>
              <w:spacing w:before="120" w:after="120"/>
              <w:rPr>
                <w:b/>
                <w:color w:val="auto"/>
                <w:sz w:val="22"/>
                <w:szCs w:val="22"/>
              </w:rPr>
            </w:pPr>
            <w:r w:rsidRPr="002E71B3">
              <w:rPr>
                <w:b/>
                <w:color w:val="auto"/>
                <w:sz w:val="22"/>
                <w:szCs w:val="22"/>
              </w:rPr>
              <w:t>Required evidence</w:t>
            </w:r>
          </w:p>
        </w:tc>
      </w:tr>
      <w:tr w:rsidR="00B5168E" w:rsidRPr="002E71B3" w14:paraId="623B6462" w14:textId="77777777" w:rsidTr="0087374D">
        <w:tc>
          <w:tcPr>
            <w:tcW w:w="1153" w:type="dxa"/>
          </w:tcPr>
          <w:p w14:paraId="387554C1" w14:textId="6208AC98" w:rsidR="00B5168E" w:rsidRDefault="008E1155" w:rsidP="00300027">
            <w:pPr>
              <w:spacing w:before="60"/>
              <w:rPr>
                <w:color w:val="auto"/>
                <w:sz w:val="22"/>
                <w:szCs w:val="22"/>
              </w:rPr>
            </w:pPr>
            <w:r>
              <w:rPr>
                <w:color w:val="auto"/>
                <w:sz w:val="22"/>
                <w:szCs w:val="22"/>
              </w:rPr>
              <w:t>5</w:t>
            </w:r>
            <w:r w:rsidR="00B5168E">
              <w:rPr>
                <w:color w:val="auto"/>
                <w:sz w:val="22"/>
                <w:szCs w:val="22"/>
              </w:rPr>
              <w:t>.1</w:t>
            </w:r>
          </w:p>
        </w:tc>
        <w:tc>
          <w:tcPr>
            <w:tcW w:w="4568" w:type="dxa"/>
          </w:tcPr>
          <w:p w14:paraId="08414277" w14:textId="5AF7BE70" w:rsidR="00B5168E" w:rsidRPr="00CC4CE1" w:rsidRDefault="009A3ABB" w:rsidP="00300027">
            <w:pPr>
              <w:spacing w:before="60"/>
              <w:rPr>
                <w:color w:val="auto"/>
                <w:sz w:val="22"/>
                <w:szCs w:val="22"/>
              </w:rPr>
            </w:pPr>
            <w:r>
              <w:rPr>
                <w:color w:val="auto"/>
                <w:sz w:val="22"/>
                <w:szCs w:val="22"/>
              </w:rPr>
              <w:t xml:space="preserve">Document </w:t>
            </w:r>
            <w:r w:rsidR="000811F8">
              <w:rPr>
                <w:color w:val="auto"/>
                <w:sz w:val="22"/>
                <w:szCs w:val="22"/>
              </w:rPr>
              <w:t>in</w:t>
            </w:r>
            <w:r w:rsidR="004F6011">
              <w:rPr>
                <w:color w:val="auto"/>
                <w:sz w:val="22"/>
                <w:szCs w:val="22"/>
              </w:rPr>
              <w:t xml:space="preserve"> t</w:t>
            </w:r>
            <w:r w:rsidR="000811F8">
              <w:rPr>
                <w:color w:val="auto"/>
                <w:sz w:val="22"/>
                <w:szCs w:val="22"/>
              </w:rPr>
              <w:t xml:space="preserve">he Patient Management System (PMS) </w:t>
            </w:r>
            <w:r w:rsidR="000C7082" w:rsidRPr="000C7082">
              <w:rPr>
                <w:color w:val="auto"/>
                <w:sz w:val="22"/>
                <w:szCs w:val="22"/>
              </w:rPr>
              <w:t xml:space="preserve">when and what </w:t>
            </w:r>
            <w:r w:rsidR="00B277AD">
              <w:rPr>
                <w:color w:val="auto"/>
                <w:sz w:val="22"/>
                <w:szCs w:val="22"/>
              </w:rPr>
              <w:t xml:space="preserve">clinical </w:t>
            </w:r>
            <w:r w:rsidR="000C7082" w:rsidRPr="000C7082">
              <w:rPr>
                <w:color w:val="auto"/>
                <w:sz w:val="22"/>
                <w:szCs w:val="22"/>
              </w:rPr>
              <w:t>information is provided</w:t>
            </w:r>
            <w:r w:rsidR="00C2089E">
              <w:rPr>
                <w:color w:val="auto"/>
                <w:sz w:val="22"/>
                <w:szCs w:val="22"/>
              </w:rPr>
              <w:t>.</w:t>
            </w:r>
          </w:p>
        </w:tc>
        <w:tc>
          <w:tcPr>
            <w:tcW w:w="4075" w:type="dxa"/>
          </w:tcPr>
          <w:p w14:paraId="4A9F743F" w14:textId="76B0D744" w:rsidR="00B5168E" w:rsidRPr="00C004BB" w:rsidRDefault="00C004BB" w:rsidP="00B463FA">
            <w:pPr>
              <w:spacing w:before="60"/>
              <w:rPr>
                <w:color w:val="auto"/>
                <w:sz w:val="22"/>
                <w:szCs w:val="22"/>
              </w:rPr>
            </w:pPr>
            <w:r>
              <w:rPr>
                <w:color w:val="auto"/>
                <w:sz w:val="22"/>
                <w:szCs w:val="22"/>
              </w:rPr>
              <w:t>C</w:t>
            </w:r>
            <w:r w:rsidR="0087374D" w:rsidRPr="00C004BB">
              <w:rPr>
                <w:color w:val="auto"/>
                <w:sz w:val="22"/>
                <w:szCs w:val="22"/>
              </w:rPr>
              <w:t>linical note</w:t>
            </w:r>
            <w:r>
              <w:rPr>
                <w:color w:val="auto"/>
                <w:sz w:val="22"/>
                <w:szCs w:val="22"/>
              </w:rPr>
              <w:t>s</w:t>
            </w:r>
            <w:r w:rsidR="0087374D" w:rsidRPr="00C004BB">
              <w:rPr>
                <w:color w:val="auto"/>
                <w:sz w:val="22"/>
                <w:szCs w:val="22"/>
              </w:rPr>
              <w:t xml:space="preserve"> review </w:t>
            </w:r>
            <w:r w:rsidR="00036643">
              <w:rPr>
                <w:color w:val="auto"/>
                <w:sz w:val="22"/>
                <w:szCs w:val="22"/>
              </w:rPr>
              <w:t xml:space="preserve">of </w:t>
            </w:r>
            <w:r w:rsidR="0087374D" w:rsidRPr="00C004BB">
              <w:rPr>
                <w:color w:val="auto"/>
                <w:sz w:val="22"/>
                <w:szCs w:val="22"/>
              </w:rPr>
              <w:t>10 patient records in the 12 months prior to an onsite assessment</w:t>
            </w:r>
            <w:r w:rsidR="009A3ABB" w:rsidRPr="00C004BB">
              <w:rPr>
                <w:color w:val="auto"/>
                <w:sz w:val="22"/>
                <w:szCs w:val="22"/>
              </w:rPr>
              <w:t xml:space="preserve"> completed by all clinicians</w:t>
            </w:r>
            <w:r>
              <w:rPr>
                <w:color w:val="auto"/>
                <w:sz w:val="22"/>
                <w:szCs w:val="22"/>
              </w:rPr>
              <w:t>.</w:t>
            </w:r>
          </w:p>
        </w:tc>
      </w:tr>
      <w:tr w:rsidR="00B5168E" w:rsidRPr="002E71B3" w14:paraId="4DF271A1" w14:textId="77777777" w:rsidTr="0087374D">
        <w:tc>
          <w:tcPr>
            <w:tcW w:w="1153" w:type="dxa"/>
          </w:tcPr>
          <w:p w14:paraId="1B86F917" w14:textId="79D8FEC2" w:rsidR="00B5168E" w:rsidRPr="002E71B3" w:rsidRDefault="008E1155" w:rsidP="00300027">
            <w:pPr>
              <w:spacing w:before="60"/>
              <w:rPr>
                <w:color w:val="auto"/>
                <w:sz w:val="22"/>
                <w:szCs w:val="22"/>
              </w:rPr>
            </w:pPr>
            <w:r>
              <w:rPr>
                <w:color w:val="auto"/>
                <w:sz w:val="22"/>
                <w:szCs w:val="22"/>
              </w:rPr>
              <w:t>5</w:t>
            </w:r>
            <w:r w:rsidR="00B5168E" w:rsidRPr="002E71B3">
              <w:rPr>
                <w:color w:val="auto"/>
                <w:sz w:val="22"/>
                <w:szCs w:val="22"/>
              </w:rPr>
              <w:t>.</w:t>
            </w:r>
            <w:r w:rsidR="00B5168E">
              <w:rPr>
                <w:color w:val="auto"/>
                <w:sz w:val="22"/>
                <w:szCs w:val="22"/>
              </w:rPr>
              <w:t>2</w:t>
            </w:r>
          </w:p>
        </w:tc>
        <w:tc>
          <w:tcPr>
            <w:tcW w:w="4568" w:type="dxa"/>
          </w:tcPr>
          <w:p w14:paraId="240EBA01" w14:textId="0AADEB99" w:rsidR="00B5168E" w:rsidRPr="002E71B3" w:rsidRDefault="000C7082" w:rsidP="00300027">
            <w:pPr>
              <w:spacing w:before="60"/>
              <w:rPr>
                <w:color w:val="auto"/>
                <w:sz w:val="22"/>
                <w:szCs w:val="22"/>
              </w:rPr>
            </w:pPr>
            <w:r w:rsidRPr="000C7082">
              <w:rPr>
                <w:color w:val="auto"/>
                <w:sz w:val="22"/>
                <w:szCs w:val="22"/>
              </w:rPr>
              <w:t xml:space="preserve">Ensure informed consent is obtained </w:t>
            </w:r>
            <w:r w:rsidR="00C004BB">
              <w:rPr>
                <w:color w:val="auto"/>
                <w:sz w:val="22"/>
                <w:szCs w:val="22"/>
              </w:rPr>
              <w:t xml:space="preserve">in writing </w:t>
            </w:r>
            <w:r w:rsidRPr="000C7082">
              <w:rPr>
                <w:color w:val="auto"/>
                <w:sz w:val="22"/>
                <w:szCs w:val="22"/>
              </w:rPr>
              <w:t>where there is significant risk associated with a treatment/procedure</w:t>
            </w:r>
            <w:r w:rsidR="00C2089E">
              <w:rPr>
                <w:color w:val="auto"/>
                <w:sz w:val="22"/>
                <w:szCs w:val="22"/>
              </w:rPr>
              <w:t>.</w:t>
            </w:r>
          </w:p>
        </w:tc>
        <w:tc>
          <w:tcPr>
            <w:tcW w:w="4075" w:type="dxa"/>
          </w:tcPr>
          <w:p w14:paraId="64027940" w14:textId="0982A045" w:rsidR="00B5168E" w:rsidRPr="00C004BB" w:rsidRDefault="002D3694" w:rsidP="00300027">
            <w:pPr>
              <w:spacing w:before="60"/>
              <w:rPr>
                <w:color w:val="auto"/>
                <w:sz w:val="22"/>
                <w:szCs w:val="22"/>
              </w:rPr>
            </w:pPr>
            <w:r w:rsidRPr="00C004BB">
              <w:rPr>
                <w:color w:val="auto"/>
                <w:sz w:val="22"/>
                <w:szCs w:val="22"/>
              </w:rPr>
              <w:t>Written</w:t>
            </w:r>
            <w:r w:rsidR="000C7082" w:rsidRPr="00C004BB">
              <w:rPr>
                <w:color w:val="auto"/>
                <w:sz w:val="22"/>
                <w:szCs w:val="22"/>
              </w:rPr>
              <w:t xml:space="preserve"> consent forms and/ or a </w:t>
            </w:r>
            <w:r w:rsidR="007B1532" w:rsidRPr="00C004BB">
              <w:rPr>
                <w:color w:val="auto"/>
                <w:sz w:val="22"/>
                <w:szCs w:val="22"/>
              </w:rPr>
              <w:t xml:space="preserve">written </w:t>
            </w:r>
            <w:r w:rsidR="000C7082" w:rsidRPr="00C004BB">
              <w:rPr>
                <w:color w:val="auto"/>
                <w:sz w:val="22"/>
                <w:szCs w:val="22"/>
              </w:rPr>
              <w:t xml:space="preserve">record of </w:t>
            </w:r>
            <w:r w:rsidR="009A3ABB" w:rsidRPr="00C004BB">
              <w:rPr>
                <w:color w:val="auto"/>
                <w:sz w:val="22"/>
                <w:szCs w:val="22"/>
              </w:rPr>
              <w:t>verbal agreement including</w:t>
            </w:r>
            <w:r w:rsidR="000C7082" w:rsidRPr="00C004BB">
              <w:rPr>
                <w:color w:val="auto"/>
                <w:sz w:val="22"/>
                <w:szCs w:val="22"/>
              </w:rPr>
              <w:t xml:space="preserve"> the stating of risks.</w:t>
            </w:r>
          </w:p>
        </w:tc>
      </w:tr>
      <w:tr w:rsidR="00B5168E" w:rsidRPr="002E71B3" w14:paraId="3D6E7773" w14:textId="77777777" w:rsidTr="0087374D">
        <w:tc>
          <w:tcPr>
            <w:tcW w:w="1153" w:type="dxa"/>
          </w:tcPr>
          <w:p w14:paraId="68FDFE1C" w14:textId="172C690B" w:rsidR="00B5168E" w:rsidRDefault="008E1155" w:rsidP="00300027">
            <w:pPr>
              <w:spacing w:before="60"/>
              <w:rPr>
                <w:color w:val="auto"/>
                <w:sz w:val="22"/>
                <w:szCs w:val="22"/>
              </w:rPr>
            </w:pPr>
            <w:r>
              <w:rPr>
                <w:color w:val="auto"/>
                <w:sz w:val="22"/>
                <w:szCs w:val="22"/>
              </w:rPr>
              <w:t>5</w:t>
            </w:r>
            <w:r w:rsidR="00B5168E">
              <w:rPr>
                <w:color w:val="auto"/>
                <w:sz w:val="22"/>
                <w:szCs w:val="22"/>
              </w:rPr>
              <w:t>.3</w:t>
            </w:r>
          </w:p>
        </w:tc>
        <w:tc>
          <w:tcPr>
            <w:tcW w:w="4568" w:type="dxa"/>
          </w:tcPr>
          <w:p w14:paraId="730A6317" w14:textId="4D33FCAF" w:rsidR="00B5168E" w:rsidRPr="004C61CD" w:rsidRDefault="009A3ABB" w:rsidP="00300027">
            <w:pPr>
              <w:spacing w:before="60"/>
              <w:rPr>
                <w:color w:val="auto"/>
                <w:sz w:val="22"/>
                <w:szCs w:val="22"/>
              </w:rPr>
            </w:pPr>
            <w:r>
              <w:rPr>
                <w:color w:val="auto"/>
                <w:sz w:val="22"/>
                <w:szCs w:val="22"/>
              </w:rPr>
              <w:t xml:space="preserve">Document </w:t>
            </w:r>
            <w:r w:rsidR="000C7082" w:rsidRPr="000C7082">
              <w:rPr>
                <w:color w:val="auto"/>
                <w:sz w:val="22"/>
                <w:szCs w:val="22"/>
              </w:rPr>
              <w:t>when there is variance between any patient request, evidence-base and intervention</w:t>
            </w:r>
            <w:r w:rsidR="00C2089E">
              <w:rPr>
                <w:color w:val="auto"/>
                <w:sz w:val="22"/>
                <w:szCs w:val="22"/>
              </w:rPr>
              <w:t>.</w:t>
            </w:r>
            <w:r w:rsidR="000C7082" w:rsidRPr="000C7082">
              <w:rPr>
                <w:color w:val="auto"/>
                <w:sz w:val="22"/>
                <w:szCs w:val="22"/>
              </w:rPr>
              <w:t xml:space="preserve">  </w:t>
            </w:r>
          </w:p>
        </w:tc>
        <w:tc>
          <w:tcPr>
            <w:tcW w:w="4075" w:type="dxa"/>
          </w:tcPr>
          <w:p w14:paraId="70887146" w14:textId="0F81BD9A" w:rsidR="00B5168E" w:rsidRPr="00C004BB" w:rsidRDefault="00C004BB" w:rsidP="00C004BB">
            <w:pPr>
              <w:spacing w:before="60"/>
              <w:rPr>
                <w:color w:val="auto"/>
                <w:sz w:val="22"/>
                <w:szCs w:val="22"/>
              </w:rPr>
            </w:pPr>
            <w:r>
              <w:rPr>
                <w:color w:val="auto"/>
                <w:sz w:val="22"/>
                <w:szCs w:val="22"/>
              </w:rPr>
              <w:t>C</w:t>
            </w:r>
            <w:r w:rsidR="004129DF" w:rsidRPr="00C004BB">
              <w:rPr>
                <w:color w:val="auto"/>
                <w:sz w:val="22"/>
                <w:szCs w:val="22"/>
              </w:rPr>
              <w:t>linical note</w:t>
            </w:r>
            <w:r>
              <w:rPr>
                <w:color w:val="auto"/>
                <w:sz w:val="22"/>
                <w:szCs w:val="22"/>
              </w:rPr>
              <w:t>s</w:t>
            </w:r>
            <w:r w:rsidR="004129DF" w:rsidRPr="00C004BB">
              <w:rPr>
                <w:color w:val="auto"/>
                <w:sz w:val="22"/>
                <w:szCs w:val="22"/>
              </w:rPr>
              <w:t xml:space="preserve"> review</w:t>
            </w:r>
            <w:r w:rsidR="00036643">
              <w:rPr>
                <w:color w:val="auto"/>
                <w:sz w:val="22"/>
                <w:szCs w:val="22"/>
              </w:rPr>
              <w:t xml:space="preserve"> of</w:t>
            </w:r>
            <w:r w:rsidR="004129DF" w:rsidRPr="00C004BB">
              <w:rPr>
                <w:color w:val="auto"/>
                <w:sz w:val="22"/>
                <w:szCs w:val="22"/>
              </w:rPr>
              <w:t xml:space="preserve"> 10 patient records in the 12 months prior to an onsite assessment completed by all clinicians</w:t>
            </w:r>
            <w:r>
              <w:rPr>
                <w:color w:val="auto"/>
                <w:sz w:val="22"/>
                <w:szCs w:val="22"/>
              </w:rPr>
              <w:t>.</w:t>
            </w:r>
          </w:p>
        </w:tc>
      </w:tr>
      <w:tr w:rsidR="00431BAE" w:rsidRPr="002E71B3" w14:paraId="4E86BFE5" w14:textId="77777777" w:rsidTr="0087374D">
        <w:tc>
          <w:tcPr>
            <w:tcW w:w="1153" w:type="dxa"/>
          </w:tcPr>
          <w:p w14:paraId="3A62FDFD" w14:textId="1BD521DD" w:rsidR="00431BAE" w:rsidRDefault="00431BAE" w:rsidP="00431BAE">
            <w:pPr>
              <w:spacing w:before="60"/>
              <w:rPr>
                <w:color w:val="auto"/>
                <w:sz w:val="22"/>
                <w:szCs w:val="22"/>
              </w:rPr>
            </w:pPr>
            <w:r>
              <w:rPr>
                <w:color w:val="auto"/>
                <w:sz w:val="22"/>
                <w:szCs w:val="22"/>
              </w:rPr>
              <w:t>5.4</w:t>
            </w:r>
          </w:p>
        </w:tc>
        <w:tc>
          <w:tcPr>
            <w:tcW w:w="4568" w:type="dxa"/>
          </w:tcPr>
          <w:p w14:paraId="02B6B36C" w14:textId="59BABC46" w:rsidR="00431BAE" w:rsidRPr="000C7082" w:rsidRDefault="00431BAE" w:rsidP="00431BAE">
            <w:pPr>
              <w:spacing w:before="60"/>
              <w:rPr>
                <w:color w:val="auto"/>
                <w:sz w:val="22"/>
                <w:szCs w:val="22"/>
              </w:rPr>
            </w:pPr>
            <w:r w:rsidRPr="00F628F5">
              <w:rPr>
                <w:color w:val="auto"/>
                <w:sz w:val="22"/>
                <w:szCs w:val="22"/>
              </w:rPr>
              <w:t>Ensure patients with known literacy difficulties a</w:t>
            </w:r>
            <w:r w:rsidR="00734CC5">
              <w:rPr>
                <w:color w:val="auto"/>
                <w:sz w:val="22"/>
                <w:szCs w:val="22"/>
              </w:rPr>
              <w:t xml:space="preserve">re </w:t>
            </w:r>
            <w:r w:rsidRPr="00F628F5">
              <w:rPr>
                <w:color w:val="auto"/>
                <w:sz w:val="22"/>
                <w:szCs w:val="22"/>
              </w:rPr>
              <w:t>record</w:t>
            </w:r>
            <w:r w:rsidR="00734CC5">
              <w:rPr>
                <w:color w:val="auto"/>
                <w:sz w:val="22"/>
                <w:szCs w:val="22"/>
              </w:rPr>
              <w:t>ed</w:t>
            </w:r>
            <w:r w:rsidRPr="00F628F5">
              <w:rPr>
                <w:color w:val="auto"/>
                <w:sz w:val="22"/>
                <w:szCs w:val="22"/>
              </w:rPr>
              <w:t xml:space="preserve"> it in your PMS</w:t>
            </w:r>
            <w:r w:rsidR="00734CC5">
              <w:rPr>
                <w:color w:val="auto"/>
                <w:sz w:val="22"/>
                <w:szCs w:val="22"/>
              </w:rPr>
              <w:t>.</w:t>
            </w:r>
          </w:p>
        </w:tc>
        <w:tc>
          <w:tcPr>
            <w:tcW w:w="4075" w:type="dxa"/>
          </w:tcPr>
          <w:p w14:paraId="360DE7EA" w14:textId="52074B06" w:rsidR="00431BAE" w:rsidRPr="00C004BB" w:rsidRDefault="002D3694" w:rsidP="00431BAE">
            <w:pPr>
              <w:spacing w:before="60"/>
              <w:rPr>
                <w:color w:val="auto"/>
                <w:sz w:val="22"/>
                <w:szCs w:val="22"/>
              </w:rPr>
            </w:pPr>
            <w:bookmarkStart w:id="28" w:name="_Hlk6397421"/>
            <w:r w:rsidRPr="00C004BB">
              <w:rPr>
                <w:color w:val="auto"/>
                <w:sz w:val="22"/>
                <w:szCs w:val="22"/>
              </w:rPr>
              <w:t>Demonstrat</w:t>
            </w:r>
            <w:r w:rsidR="00734CC5" w:rsidRPr="00C004BB">
              <w:rPr>
                <w:color w:val="auto"/>
                <w:sz w:val="22"/>
                <w:szCs w:val="22"/>
              </w:rPr>
              <w:t>ion of t</w:t>
            </w:r>
            <w:r w:rsidR="00431BAE" w:rsidRPr="00C004BB">
              <w:rPr>
                <w:color w:val="auto"/>
                <w:sz w:val="22"/>
                <w:szCs w:val="22"/>
              </w:rPr>
              <w:t xml:space="preserve">he process to record </w:t>
            </w:r>
            <w:r w:rsidR="00484E04" w:rsidRPr="00C004BB">
              <w:rPr>
                <w:color w:val="auto"/>
                <w:sz w:val="22"/>
                <w:szCs w:val="22"/>
              </w:rPr>
              <w:t xml:space="preserve">patients with </w:t>
            </w:r>
            <w:r w:rsidR="00431BAE" w:rsidRPr="00C004BB">
              <w:rPr>
                <w:color w:val="auto"/>
                <w:sz w:val="22"/>
                <w:szCs w:val="22"/>
              </w:rPr>
              <w:t xml:space="preserve">literacy issues in </w:t>
            </w:r>
            <w:r w:rsidR="00484E04" w:rsidRPr="00C004BB">
              <w:rPr>
                <w:color w:val="auto"/>
                <w:sz w:val="22"/>
                <w:szCs w:val="22"/>
              </w:rPr>
              <w:t xml:space="preserve">the </w:t>
            </w:r>
            <w:r w:rsidR="00431BAE" w:rsidRPr="00C004BB">
              <w:rPr>
                <w:color w:val="auto"/>
                <w:sz w:val="22"/>
                <w:szCs w:val="22"/>
              </w:rPr>
              <w:t>PMS</w:t>
            </w:r>
            <w:r w:rsidR="00745791" w:rsidRPr="00C004BB">
              <w:rPr>
                <w:color w:val="auto"/>
                <w:sz w:val="22"/>
                <w:szCs w:val="22"/>
              </w:rPr>
              <w:t xml:space="preserve"> and solutions to enable patients</w:t>
            </w:r>
            <w:r w:rsidR="00D80520" w:rsidRPr="00C004BB">
              <w:rPr>
                <w:color w:val="auto"/>
                <w:sz w:val="22"/>
                <w:szCs w:val="22"/>
              </w:rPr>
              <w:t xml:space="preserve"> </w:t>
            </w:r>
            <w:r w:rsidR="00745791" w:rsidRPr="00C004BB">
              <w:rPr>
                <w:color w:val="auto"/>
                <w:sz w:val="22"/>
                <w:szCs w:val="22"/>
              </w:rPr>
              <w:t>to make informed decisions.</w:t>
            </w:r>
            <w:bookmarkEnd w:id="28"/>
          </w:p>
        </w:tc>
      </w:tr>
      <w:tr w:rsidR="00431BAE" w:rsidRPr="002E71B3" w14:paraId="790F9CB2" w14:textId="77777777" w:rsidTr="0087374D">
        <w:tc>
          <w:tcPr>
            <w:tcW w:w="1153" w:type="dxa"/>
          </w:tcPr>
          <w:p w14:paraId="51E95BB4" w14:textId="1D90FD99" w:rsidR="00431BAE" w:rsidRDefault="00431BAE" w:rsidP="00431BAE">
            <w:pPr>
              <w:spacing w:before="60"/>
              <w:rPr>
                <w:color w:val="auto"/>
                <w:sz w:val="22"/>
                <w:szCs w:val="22"/>
              </w:rPr>
            </w:pPr>
            <w:r>
              <w:rPr>
                <w:color w:val="auto"/>
                <w:sz w:val="22"/>
                <w:szCs w:val="22"/>
              </w:rPr>
              <w:t>5.5</w:t>
            </w:r>
          </w:p>
        </w:tc>
        <w:tc>
          <w:tcPr>
            <w:tcW w:w="4568" w:type="dxa"/>
          </w:tcPr>
          <w:p w14:paraId="006FFBEF" w14:textId="68D0F92D" w:rsidR="00431BAE" w:rsidRPr="00CC4CE1" w:rsidRDefault="00431BAE" w:rsidP="00431BAE">
            <w:pPr>
              <w:spacing w:before="60"/>
              <w:rPr>
                <w:color w:val="auto"/>
                <w:sz w:val="22"/>
                <w:szCs w:val="22"/>
              </w:rPr>
            </w:pPr>
            <w:r w:rsidRPr="000C7082">
              <w:rPr>
                <w:color w:val="auto"/>
                <w:sz w:val="22"/>
                <w:szCs w:val="22"/>
              </w:rPr>
              <w:t xml:space="preserve">Provide patients with information describing </w:t>
            </w:r>
            <w:r w:rsidR="00D80520">
              <w:rPr>
                <w:color w:val="auto"/>
                <w:sz w:val="22"/>
                <w:szCs w:val="22"/>
              </w:rPr>
              <w:t xml:space="preserve">your practices </w:t>
            </w:r>
            <w:r w:rsidRPr="000C7082">
              <w:rPr>
                <w:color w:val="auto"/>
                <w:sz w:val="22"/>
                <w:szCs w:val="22"/>
              </w:rPr>
              <w:t>services and fees</w:t>
            </w:r>
            <w:r w:rsidR="00D80520">
              <w:rPr>
                <w:color w:val="auto"/>
                <w:sz w:val="22"/>
                <w:szCs w:val="22"/>
              </w:rPr>
              <w:t>.</w:t>
            </w:r>
          </w:p>
        </w:tc>
        <w:tc>
          <w:tcPr>
            <w:tcW w:w="4075" w:type="dxa"/>
          </w:tcPr>
          <w:p w14:paraId="6320B6BF" w14:textId="7E716943" w:rsidR="00431BAE" w:rsidRPr="00C004BB" w:rsidRDefault="00A6606B" w:rsidP="00431BAE">
            <w:pPr>
              <w:spacing w:before="60"/>
              <w:rPr>
                <w:color w:val="auto"/>
                <w:sz w:val="22"/>
                <w:szCs w:val="22"/>
              </w:rPr>
            </w:pPr>
            <w:r w:rsidRPr="00C004BB">
              <w:rPr>
                <w:color w:val="auto"/>
                <w:sz w:val="22"/>
                <w:szCs w:val="22"/>
              </w:rPr>
              <w:t>P</w:t>
            </w:r>
            <w:r w:rsidR="00C2089E" w:rsidRPr="00C004BB">
              <w:rPr>
                <w:color w:val="auto"/>
                <w:sz w:val="22"/>
                <w:szCs w:val="22"/>
              </w:rPr>
              <w:t>amphlets,</w:t>
            </w:r>
            <w:r w:rsidRPr="00C004BB">
              <w:rPr>
                <w:color w:val="auto"/>
                <w:sz w:val="22"/>
                <w:szCs w:val="22"/>
              </w:rPr>
              <w:t xml:space="preserve"> posters</w:t>
            </w:r>
            <w:r w:rsidR="00C2089E" w:rsidRPr="00C004BB">
              <w:rPr>
                <w:color w:val="auto"/>
                <w:sz w:val="22"/>
                <w:szCs w:val="22"/>
              </w:rPr>
              <w:t xml:space="preserve"> </w:t>
            </w:r>
            <w:r w:rsidRPr="00C004BB">
              <w:rPr>
                <w:color w:val="auto"/>
                <w:sz w:val="22"/>
                <w:szCs w:val="22"/>
              </w:rPr>
              <w:t xml:space="preserve">or </w:t>
            </w:r>
            <w:r w:rsidR="00C2089E" w:rsidRPr="00C004BB">
              <w:rPr>
                <w:color w:val="auto"/>
                <w:sz w:val="22"/>
                <w:szCs w:val="22"/>
              </w:rPr>
              <w:t xml:space="preserve">information available on the </w:t>
            </w:r>
            <w:r w:rsidR="00C80464" w:rsidRPr="00C004BB">
              <w:rPr>
                <w:color w:val="auto"/>
                <w:sz w:val="22"/>
                <w:szCs w:val="22"/>
              </w:rPr>
              <w:t>practice</w:t>
            </w:r>
            <w:r w:rsidR="00C2089E" w:rsidRPr="00C004BB">
              <w:rPr>
                <w:color w:val="auto"/>
                <w:sz w:val="22"/>
                <w:szCs w:val="22"/>
              </w:rPr>
              <w:t xml:space="preserve"> website</w:t>
            </w:r>
            <w:r w:rsidR="00C004BB">
              <w:rPr>
                <w:color w:val="auto"/>
                <w:sz w:val="22"/>
                <w:szCs w:val="22"/>
              </w:rPr>
              <w:t>.</w:t>
            </w:r>
            <w:r w:rsidR="00C2089E" w:rsidRPr="00C004BB">
              <w:rPr>
                <w:color w:val="auto"/>
                <w:sz w:val="22"/>
                <w:szCs w:val="22"/>
              </w:rPr>
              <w:t xml:space="preserve"> </w:t>
            </w:r>
          </w:p>
        </w:tc>
      </w:tr>
    </w:tbl>
    <w:p w14:paraId="19E6A7D1" w14:textId="77777777" w:rsidR="00831A94" w:rsidRPr="005B2DE1" w:rsidRDefault="00831A94" w:rsidP="00831A94">
      <w:pPr>
        <w:pStyle w:val="HHLBodyText"/>
        <w:spacing w:before="240"/>
        <w:rPr>
          <w:b/>
          <w:sz w:val="22"/>
          <w:szCs w:val="22"/>
        </w:rPr>
      </w:pPr>
      <w:r w:rsidRPr="005B2DE1">
        <w:rPr>
          <w:b/>
          <w:sz w:val="22"/>
          <w:szCs w:val="22"/>
        </w:rPr>
        <w:t>Required training</w:t>
      </w:r>
    </w:p>
    <w:p w14:paraId="4D1157FC" w14:textId="18114706" w:rsidR="00352EA1" w:rsidRPr="00EF0A0E" w:rsidRDefault="00317CD0"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34ED12FC" w14:textId="46A5D9C6" w:rsidR="00BD10EC" w:rsidRPr="00356116" w:rsidRDefault="00300027" w:rsidP="0053244A">
      <w:pPr>
        <w:spacing w:before="240" w:after="120"/>
        <w:rPr>
          <w:b/>
          <w:color w:val="auto"/>
          <w:sz w:val="22"/>
          <w:szCs w:val="22"/>
        </w:rPr>
      </w:pPr>
      <w:r w:rsidRPr="00356116">
        <w:rPr>
          <w:b/>
          <w:color w:val="auto"/>
          <w:sz w:val="22"/>
          <w:szCs w:val="22"/>
        </w:rPr>
        <w:t>Guidance notes</w:t>
      </w:r>
    </w:p>
    <w:p w14:paraId="0DC166CC" w14:textId="674D192B" w:rsidR="000B06F9" w:rsidRPr="00AF28EF" w:rsidRDefault="00AF28EF" w:rsidP="002658F5">
      <w:pPr>
        <w:spacing w:after="120"/>
        <w:rPr>
          <w:rFonts w:cs="Arial"/>
          <w:color w:val="auto"/>
          <w:sz w:val="24"/>
        </w:rPr>
      </w:pPr>
      <w:r>
        <w:rPr>
          <w:rFonts w:cs="Arial"/>
          <w:i/>
          <w:color w:val="auto"/>
          <w:sz w:val="24"/>
        </w:rPr>
        <w:t>I</w:t>
      </w:r>
      <w:r w:rsidRPr="00AF28EF">
        <w:rPr>
          <w:rFonts w:cs="Arial"/>
          <w:i/>
          <w:color w:val="auto"/>
          <w:sz w:val="24"/>
        </w:rPr>
        <w:t>nformed consent</w:t>
      </w:r>
    </w:p>
    <w:p w14:paraId="1A507365" w14:textId="62345C2F" w:rsidR="00CA2A6C" w:rsidRPr="00747001" w:rsidRDefault="00CA2A6C" w:rsidP="00CA2A6C">
      <w:pPr>
        <w:rPr>
          <w:rFonts w:cs="Arial"/>
          <w:color w:val="auto"/>
          <w:sz w:val="22"/>
          <w:szCs w:val="22"/>
        </w:rPr>
      </w:pPr>
      <w:r w:rsidRPr="00747001">
        <w:rPr>
          <w:rFonts w:cs="Arial"/>
          <w:color w:val="auto"/>
          <w:sz w:val="22"/>
          <w:szCs w:val="22"/>
        </w:rPr>
        <w:t>Informed consent occurs when the patient gains an understanding of what is involved in receiving a proposed procedure or treatment and, free from coercion, gives agreement.</w:t>
      </w:r>
    </w:p>
    <w:p w14:paraId="1B67B67F" w14:textId="77777777" w:rsidR="00CA2A6C" w:rsidRPr="00747001" w:rsidRDefault="00CA2A6C" w:rsidP="00CA2A6C">
      <w:pPr>
        <w:rPr>
          <w:rFonts w:cs="Arial"/>
          <w:color w:val="auto"/>
          <w:sz w:val="22"/>
          <w:szCs w:val="22"/>
        </w:rPr>
      </w:pPr>
      <w:r w:rsidRPr="00747001">
        <w:rPr>
          <w:rFonts w:cs="Arial"/>
          <w:color w:val="auto"/>
          <w:sz w:val="22"/>
          <w:szCs w:val="22"/>
        </w:rPr>
        <w:t xml:space="preserve">The patient has the right to: </w:t>
      </w:r>
    </w:p>
    <w:p w14:paraId="74D0E094" w14:textId="5A324506"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C</w:t>
      </w:r>
      <w:r w:rsidR="00CA2A6C" w:rsidRPr="00747001">
        <w:rPr>
          <w:rFonts w:ascii="Arial" w:hAnsi="Arial" w:cs="Arial"/>
          <w:color w:val="auto"/>
          <w:szCs w:val="22"/>
        </w:rPr>
        <w:t>onsider the information given</w:t>
      </w:r>
      <w:r w:rsidR="004D1582">
        <w:rPr>
          <w:rFonts w:ascii="Arial" w:hAnsi="Arial" w:cs="Arial"/>
          <w:color w:val="auto"/>
          <w:szCs w:val="22"/>
        </w:rPr>
        <w:t>.</w:t>
      </w:r>
    </w:p>
    <w:p w14:paraId="0C4481AF" w14:textId="558ED9B6"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A</w:t>
      </w:r>
      <w:r w:rsidR="00CA2A6C" w:rsidRPr="00747001">
        <w:rPr>
          <w:rFonts w:ascii="Arial" w:hAnsi="Arial" w:cs="Arial"/>
          <w:color w:val="auto"/>
          <w:szCs w:val="22"/>
        </w:rPr>
        <w:t>sk for clarification and ask for time to consider the information</w:t>
      </w:r>
      <w:r w:rsidR="004D1582">
        <w:rPr>
          <w:rFonts w:ascii="Arial" w:hAnsi="Arial" w:cs="Arial"/>
          <w:color w:val="auto"/>
          <w:szCs w:val="22"/>
        </w:rPr>
        <w:t>.</w:t>
      </w:r>
    </w:p>
    <w:p w14:paraId="3B2FCA0D" w14:textId="6442EF7C"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C</w:t>
      </w:r>
      <w:r w:rsidR="00CA2A6C" w:rsidRPr="00747001">
        <w:rPr>
          <w:rFonts w:ascii="Arial" w:hAnsi="Arial" w:cs="Arial"/>
          <w:color w:val="auto"/>
          <w:szCs w:val="22"/>
        </w:rPr>
        <w:t>onsult with family and others</w:t>
      </w:r>
      <w:r w:rsidR="004D1582">
        <w:rPr>
          <w:rFonts w:ascii="Arial" w:hAnsi="Arial" w:cs="Arial"/>
          <w:color w:val="auto"/>
          <w:szCs w:val="22"/>
        </w:rPr>
        <w:t>.</w:t>
      </w:r>
    </w:p>
    <w:p w14:paraId="33672665" w14:textId="76EA561D"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G</w:t>
      </w:r>
      <w:r w:rsidR="00CA2A6C" w:rsidRPr="00747001">
        <w:rPr>
          <w:rFonts w:ascii="Arial" w:hAnsi="Arial" w:cs="Arial"/>
          <w:color w:val="auto"/>
          <w:szCs w:val="22"/>
        </w:rPr>
        <w:t>ive consent or decline to give consent</w:t>
      </w:r>
      <w:r w:rsidR="004D1582">
        <w:rPr>
          <w:rFonts w:ascii="Arial" w:hAnsi="Arial" w:cs="Arial"/>
          <w:color w:val="auto"/>
          <w:szCs w:val="22"/>
        </w:rPr>
        <w:t>.</w:t>
      </w:r>
    </w:p>
    <w:p w14:paraId="1738CA15" w14:textId="16F69039"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W</w:t>
      </w:r>
      <w:r w:rsidR="00CA2A6C" w:rsidRPr="00747001">
        <w:rPr>
          <w:rFonts w:ascii="Arial" w:hAnsi="Arial" w:cs="Arial"/>
          <w:color w:val="auto"/>
          <w:szCs w:val="22"/>
        </w:rPr>
        <w:t>aive the right to discuss the details of treatment</w:t>
      </w:r>
      <w:r w:rsidR="004D1582">
        <w:rPr>
          <w:rFonts w:ascii="Arial" w:hAnsi="Arial" w:cs="Arial"/>
          <w:color w:val="auto"/>
          <w:szCs w:val="22"/>
        </w:rPr>
        <w:t>.</w:t>
      </w:r>
    </w:p>
    <w:p w14:paraId="78AD55DA" w14:textId="0C664688"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A</w:t>
      </w:r>
      <w:r w:rsidR="00CA2A6C" w:rsidRPr="00747001">
        <w:rPr>
          <w:rFonts w:ascii="Arial" w:hAnsi="Arial" w:cs="Arial"/>
          <w:color w:val="auto"/>
          <w:szCs w:val="22"/>
        </w:rPr>
        <w:t>fter having given consent, change his or her mind and withdraw the consent.</w:t>
      </w:r>
    </w:p>
    <w:p w14:paraId="6A6A2467" w14:textId="77777777" w:rsidR="00CA2A6C" w:rsidRPr="00734CC5" w:rsidRDefault="00CA2A6C" w:rsidP="00734CC5">
      <w:pPr>
        <w:pStyle w:val="HHLBodyText"/>
        <w:spacing w:before="240"/>
        <w:rPr>
          <w:rFonts w:cs="Arial"/>
          <w:i/>
        </w:rPr>
      </w:pPr>
      <w:r w:rsidRPr="00734CC5">
        <w:rPr>
          <w:rFonts w:cs="Arial"/>
          <w:i/>
        </w:rPr>
        <w:t>Compulsory written informed consent</w:t>
      </w:r>
    </w:p>
    <w:p w14:paraId="05036E59" w14:textId="53A4C486" w:rsidR="00CA2A6C" w:rsidRPr="00747001" w:rsidRDefault="00CA2A6C" w:rsidP="00CA2A6C">
      <w:pPr>
        <w:rPr>
          <w:rFonts w:cs="Arial"/>
          <w:color w:val="auto"/>
          <w:sz w:val="22"/>
          <w:szCs w:val="22"/>
        </w:rPr>
      </w:pPr>
      <w:r w:rsidRPr="00747001">
        <w:rPr>
          <w:rFonts w:cs="Arial"/>
          <w:color w:val="auto"/>
          <w:sz w:val="22"/>
          <w:szCs w:val="22"/>
        </w:rPr>
        <w:t>Informed consent must be in writing if any of the following apply:</w:t>
      </w:r>
    </w:p>
    <w:p w14:paraId="6FACECA0" w14:textId="3B32A99A"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T</w:t>
      </w:r>
      <w:r w:rsidR="00CA2A6C" w:rsidRPr="00747001">
        <w:rPr>
          <w:rFonts w:ascii="Arial" w:hAnsi="Arial" w:cs="Arial"/>
          <w:color w:val="auto"/>
          <w:szCs w:val="22"/>
        </w:rPr>
        <w:t xml:space="preserve">he </w:t>
      </w:r>
      <w:r w:rsidR="006E5987">
        <w:rPr>
          <w:rFonts w:ascii="Arial" w:hAnsi="Arial" w:cs="Arial"/>
          <w:color w:val="auto"/>
          <w:szCs w:val="22"/>
        </w:rPr>
        <w:t>patient</w:t>
      </w:r>
      <w:r w:rsidR="00CA2A6C" w:rsidRPr="00747001">
        <w:rPr>
          <w:rFonts w:ascii="Arial" w:hAnsi="Arial" w:cs="Arial"/>
          <w:color w:val="auto"/>
          <w:szCs w:val="22"/>
        </w:rPr>
        <w:t xml:space="preserve"> is to participate in any research</w:t>
      </w:r>
      <w:r w:rsidR="004D1582">
        <w:rPr>
          <w:rFonts w:ascii="Arial" w:hAnsi="Arial" w:cs="Arial"/>
          <w:color w:val="auto"/>
          <w:szCs w:val="22"/>
        </w:rPr>
        <w:t>.</w:t>
      </w:r>
    </w:p>
    <w:p w14:paraId="57FE9AFA" w14:textId="761C57CF"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T</w:t>
      </w:r>
      <w:r w:rsidR="00CA2A6C" w:rsidRPr="00747001">
        <w:rPr>
          <w:rFonts w:ascii="Arial" w:hAnsi="Arial" w:cs="Arial"/>
          <w:color w:val="auto"/>
          <w:szCs w:val="22"/>
        </w:rPr>
        <w:t>he procedure is experimental</w:t>
      </w:r>
      <w:r w:rsidR="004D1582">
        <w:rPr>
          <w:rFonts w:ascii="Arial" w:hAnsi="Arial" w:cs="Arial"/>
          <w:color w:val="auto"/>
          <w:szCs w:val="22"/>
        </w:rPr>
        <w:t>.</w:t>
      </w:r>
    </w:p>
    <w:p w14:paraId="5D8C558A" w14:textId="7A2FA203"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T</w:t>
      </w:r>
      <w:r w:rsidR="00CA2A6C" w:rsidRPr="00747001">
        <w:rPr>
          <w:rFonts w:ascii="Arial" w:hAnsi="Arial" w:cs="Arial"/>
          <w:color w:val="auto"/>
          <w:szCs w:val="22"/>
        </w:rPr>
        <w:t xml:space="preserve">he </w:t>
      </w:r>
      <w:r w:rsidR="006E5987">
        <w:rPr>
          <w:rFonts w:ascii="Arial" w:hAnsi="Arial" w:cs="Arial"/>
          <w:color w:val="auto"/>
          <w:szCs w:val="22"/>
        </w:rPr>
        <w:t>patient</w:t>
      </w:r>
      <w:r w:rsidR="00CA2A6C" w:rsidRPr="00747001">
        <w:rPr>
          <w:rFonts w:ascii="Arial" w:hAnsi="Arial" w:cs="Arial"/>
          <w:color w:val="auto"/>
          <w:szCs w:val="22"/>
        </w:rPr>
        <w:t xml:space="preserve"> will be under general anaesthetic</w:t>
      </w:r>
      <w:r w:rsidR="004D1582">
        <w:rPr>
          <w:rFonts w:ascii="Arial" w:hAnsi="Arial" w:cs="Arial"/>
          <w:color w:val="auto"/>
          <w:szCs w:val="22"/>
        </w:rPr>
        <w:t>.</w:t>
      </w:r>
    </w:p>
    <w:p w14:paraId="6BBA7E79" w14:textId="792C8A24" w:rsidR="00CA2A6C" w:rsidRPr="00747001" w:rsidRDefault="00734CC5" w:rsidP="006D11A9">
      <w:pPr>
        <w:pStyle w:val="Bullets"/>
        <w:ind w:left="567" w:hanging="567"/>
        <w:rPr>
          <w:rFonts w:ascii="Arial" w:hAnsi="Arial" w:cs="Arial"/>
          <w:color w:val="auto"/>
          <w:szCs w:val="22"/>
        </w:rPr>
      </w:pPr>
      <w:r>
        <w:rPr>
          <w:rFonts w:ascii="Arial" w:hAnsi="Arial" w:cs="Arial"/>
          <w:color w:val="auto"/>
          <w:szCs w:val="22"/>
        </w:rPr>
        <w:t>T</w:t>
      </w:r>
      <w:r w:rsidR="00CA2A6C" w:rsidRPr="00747001">
        <w:rPr>
          <w:rFonts w:ascii="Arial" w:hAnsi="Arial" w:cs="Arial"/>
          <w:color w:val="auto"/>
          <w:szCs w:val="22"/>
        </w:rPr>
        <w:t>here is a significant risk of adverse effects on the consumer.</w:t>
      </w:r>
    </w:p>
    <w:p w14:paraId="6C92E503" w14:textId="11669AC4" w:rsidR="00CA2A6C" w:rsidRPr="00747001" w:rsidRDefault="00CA2A6C" w:rsidP="00CA2A6C">
      <w:pPr>
        <w:rPr>
          <w:rFonts w:cs="Arial"/>
          <w:color w:val="auto"/>
          <w:sz w:val="22"/>
          <w:szCs w:val="22"/>
        </w:rPr>
      </w:pPr>
      <w:r w:rsidRPr="00747001">
        <w:rPr>
          <w:rFonts w:cs="Arial"/>
          <w:color w:val="auto"/>
          <w:sz w:val="22"/>
          <w:szCs w:val="22"/>
        </w:rPr>
        <w:t>There may be other situations where informed consent is advised or required to be in writing (</w:t>
      </w:r>
      <w:r w:rsidR="002D3694" w:rsidRPr="00747001">
        <w:rPr>
          <w:rFonts w:cs="Arial"/>
          <w:color w:val="auto"/>
          <w:sz w:val="22"/>
          <w:szCs w:val="22"/>
        </w:rPr>
        <w:t>e.g.</w:t>
      </w:r>
      <w:r w:rsidRPr="00747001">
        <w:rPr>
          <w:rFonts w:cs="Arial"/>
          <w:color w:val="auto"/>
          <w:sz w:val="22"/>
          <w:szCs w:val="22"/>
        </w:rPr>
        <w:t xml:space="preserve"> vaccinating in an offsite vaccination programme</w:t>
      </w:r>
      <w:r w:rsidR="0071129A">
        <w:rPr>
          <w:rFonts w:cs="Arial"/>
          <w:color w:val="auto"/>
          <w:sz w:val="22"/>
          <w:szCs w:val="22"/>
        </w:rPr>
        <w:t xml:space="preserve"> such as at a place of work or</w:t>
      </w:r>
      <w:r w:rsidRPr="00747001">
        <w:rPr>
          <w:rFonts w:cs="Arial"/>
          <w:color w:val="auto"/>
          <w:sz w:val="22"/>
          <w:szCs w:val="22"/>
        </w:rPr>
        <w:t xml:space="preserve"> at a school).</w:t>
      </w:r>
    </w:p>
    <w:p w14:paraId="0C47999C" w14:textId="77777777" w:rsidR="008F3839" w:rsidRDefault="008F3839">
      <w:pPr>
        <w:spacing w:after="0"/>
        <w:rPr>
          <w:b/>
          <w:color w:val="auto"/>
          <w:sz w:val="22"/>
          <w:szCs w:val="22"/>
        </w:rPr>
      </w:pPr>
      <w:r>
        <w:rPr>
          <w:b/>
          <w:color w:val="auto"/>
          <w:sz w:val="22"/>
          <w:szCs w:val="22"/>
        </w:rPr>
        <w:br w:type="page"/>
      </w:r>
    </w:p>
    <w:p w14:paraId="2B93B1A9" w14:textId="3175B904" w:rsidR="00300027" w:rsidRPr="00356116" w:rsidRDefault="00300027" w:rsidP="0053244A">
      <w:pPr>
        <w:spacing w:before="240" w:after="120"/>
        <w:rPr>
          <w:b/>
          <w:color w:val="auto"/>
          <w:sz w:val="22"/>
          <w:szCs w:val="22"/>
        </w:rPr>
      </w:pPr>
      <w:r w:rsidRPr="00356116">
        <w:rPr>
          <w:b/>
          <w:color w:val="auto"/>
          <w:sz w:val="22"/>
          <w:szCs w:val="22"/>
        </w:rPr>
        <w:lastRenderedPageBreak/>
        <w:t>Resources</w:t>
      </w:r>
    </w:p>
    <w:p w14:paraId="08F9D599" w14:textId="35ED078C" w:rsidR="0087374D" w:rsidRPr="009D7753" w:rsidRDefault="00CF1416" w:rsidP="009D7753">
      <w:pPr>
        <w:pStyle w:val="Resourcelist"/>
        <w:spacing w:after="120"/>
        <w:rPr>
          <w:rStyle w:val="Hyperlink"/>
          <w:rFonts w:ascii="Arial" w:hAnsi="Arial" w:cs="Arial"/>
          <w:color w:val="0000FF"/>
        </w:rPr>
      </w:pPr>
      <w:hyperlink r:id="rId34" w:history="1">
        <w:r w:rsidR="001D192D" w:rsidRPr="009D7753">
          <w:rPr>
            <w:rStyle w:val="Hyperlink"/>
            <w:rFonts w:ascii="Arial" w:hAnsi="Arial" w:cs="Arial"/>
            <w:color w:val="0000FF"/>
          </w:rPr>
          <w:t>RNZCGP: Clinical record review self-aud</w:t>
        </w:r>
        <w:r w:rsidR="001A7074">
          <w:rPr>
            <w:rStyle w:val="Hyperlink"/>
            <w:rFonts w:ascii="Arial" w:hAnsi="Arial" w:cs="Arial"/>
            <w:color w:val="0000FF"/>
          </w:rPr>
          <w:t>i</w:t>
        </w:r>
        <w:r w:rsidR="001D192D" w:rsidRPr="009D7753">
          <w:rPr>
            <w:rStyle w:val="Hyperlink"/>
            <w:rFonts w:ascii="Arial" w:hAnsi="Arial" w:cs="Arial"/>
            <w:color w:val="0000FF"/>
          </w:rPr>
          <w:t>t checklist</w:t>
        </w:r>
      </w:hyperlink>
      <w:hyperlink r:id="rId35" w:history="1"/>
    </w:p>
    <w:p w14:paraId="54160251" w14:textId="76A3E7A0" w:rsidR="00734BCD" w:rsidRPr="009D7753" w:rsidRDefault="00CF1416" w:rsidP="009D7753">
      <w:pPr>
        <w:pStyle w:val="Resourcelist"/>
        <w:spacing w:after="120"/>
        <w:rPr>
          <w:rStyle w:val="Hyperlink"/>
          <w:rFonts w:ascii="Arial" w:hAnsi="Arial" w:cs="Arial"/>
          <w:color w:val="0000FF"/>
        </w:rPr>
      </w:pPr>
      <w:hyperlink r:id="rId36" w:history="1">
        <w:r w:rsidR="00734BCD" w:rsidRPr="009D7753">
          <w:rPr>
            <w:rStyle w:val="Hyperlink"/>
            <w:rFonts w:ascii="Arial" w:hAnsi="Arial" w:cs="Arial"/>
            <w:color w:val="0000FF"/>
          </w:rPr>
          <w:t>The Code of Health and Disability Services Consumers’ Rights 1996</w:t>
        </w:r>
      </w:hyperlink>
    </w:p>
    <w:p w14:paraId="6B63CA25" w14:textId="0F6052D6" w:rsidR="00734BCD" w:rsidRPr="009D7753" w:rsidRDefault="00CF1416" w:rsidP="009D7753">
      <w:pPr>
        <w:pStyle w:val="Resourcelist"/>
        <w:spacing w:after="120"/>
        <w:rPr>
          <w:rStyle w:val="Hyperlink"/>
          <w:rFonts w:ascii="Arial" w:hAnsi="Arial" w:cs="Arial"/>
          <w:color w:val="0000FF"/>
        </w:rPr>
      </w:pPr>
      <w:hyperlink r:id="rId37" w:history="1">
        <w:r w:rsidR="00734BCD" w:rsidRPr="009D7753">
          <w:rPr>
            <w:rStyle w:val="Hyperlink"/>
            <w:rFonts w:ascii="Arial" w:hAnsi="Arial" w:cs="Arial"/>
            <w:color w:val="0000FF"/>
          </w:rPr>
          <w:t>M</w:t>
        </w:r>
        <w:r w:rsidR="00375D0D" w:rsidRPr="009D7753">
          <w:rPr>
            <w:rStyle w:val="Hyperlink"/>
            <w:rFonts w:ascii="Arial" w:hAnsi="Arial" w:cs="Arial"/>
            <w:color w:val="0000FF"/>
          </w:rPr>
          <w:t>edical Council of New Zealand</w:t>
        </w:r>
        <w:r w:rsidR="00AB7CD4" w:rsidRPr="009D7753">
          <w:rPr>
            <w:rStyle w:val="Hyperlink"/>
            <w:rFonts w:ascii="Arial" w:hAnsi="Arial" w:cs="Arial"/>
            <w:color w:val="0000FF"/>
          </w:rPr>
          <w:t>:</w:t>
        </w:r>
        <w:r w:rsidR="00375D0D" w:rsidRPr="009D7753">
          <w:rPr>
            <w:rStyle w:val="Hyperlink"/>
            <w:rFonts w:ascii="Arial" w:hAnsi="Arial" w:cs="Arial"/>
            <w:color w:val="0000FF"/>
          </w:rPr>
          <w:t xml:space="preserve"> </w:t>
        </w:r>
        <w:r w:rsidR="00734BCD" w:rsidRPr="009D7753">
          <w:rPr>
            <w:rStyle w:val="Hyperlink"/>
            <w:rFonts w:ascii="Arial" w:hAnsi="Arial" w:cs="Arial"/>
            <w:color w:val="0000FF"/>
          </w:rPr>
          <w:t>Information, choice of treatment and informed consent</w:t>
        </w:r>
      </w:hyperlink>
    </w:p>
    <w:p w14:paraId="6E4EDCC8" w14:textId="40D73653" w:rsidR="00734BCD" w:rsidRPr="009D7753" w:rsidRDefault="00CF1416" w:rsidP="009D7753">
      <w:pPr>
        <w:pStyle w:val="Resourcelist"/>
        <w:spacing w:after="120"/>
        <w:rPr>
          <w:rStyle w:val="Hyperlink"/>
          <w:rFonts w:ascii="Arial" w:hAnsi="Arial" w:cs="Arial"/>
          <w:color w:val="0000FF"/>
        </w:rPr>
      </w:pPr>
      <w:hyperlink r:id="rId38" w:history="1">
        <w:r w:rsidR="00734BCD" w:rsidRPr="009D7753">
          <w:rPr>
            <w:rStyle w:val="Hyperlink"/>
            <w:rFonts w:ascii="Arial" w:hAnsi="Arial" w:cs="Arial"/>
            <w:color w:val="0000FF"/>
          </w:rPr>
          <w:t>Ministry of Health</w:t>
        </w:r>
        <w:r w:rsidR="00D15950">
          <w:rPr>
            <w:rStyle w:val="Hyperlink"/>
            <w:rFonts w:ascii="Arial" w:hAnsi="Arial" w:cs="Arial"/>
            <w:color w:val="0000FF"/>
          </w:rPr>
          <w:t>:</w:t>
        </w:r>
        <w:r w:rsidR="00734BCD" w:rsidRPr="009D7753">
          <w:rPr>
            <w:rStyle w:val="Hyperlink"/>
            <w:rFonts w:ascii="Arial" w:hAnsi="Arial" w:cs="Arial"/>
            <w:color w:val="0000FF"/>
          </w:rPr>
          <w:t xml:space="preserve"> Advance care planning: </w:t>
        </w:r>
        <w:r w:rsidR="002E236E" w:rsidRPr="009D7753">
          <w:rPr>
            <w:rStyle w:val="Hyperlink"/>
            <w:rFonts w:ascii="Arial" w:hAnsi="Arial" w:cs="Arial"/>
            <w:color w:val="0000FF"/>
          </w:rPr>
          <w:t>A</w:t>
        </w:r>
        <w:r w:rsidR="00734BCD" w:rsidRPr="009D7753">
          <w:rPr>
            <w:rStyle w:val="Hyperlink"/>
            <w:rFonts w:ascii="Arial" w:hAnsi="Arial" w:cs="Arial"/>
            <w:color w:val="0000FF"/>
          </w:rPr>
          <w:t xml:space="preserve"> guide for the New Zealand health care workforce. Wellington, 2011</w:t>
        </w:r>
      </w:hyperlink>
    </w:p>
    <w:p w14:paraId="6278E1DC" w14:textId="7F8CE8CF" w:rsidR="00734BCD" w:rsidRPr="009D7753" w:rsidRDefault="00CF1416" w:rsidP="009D7753">
      <w:pPr>
        <w:pStyle w:val="Resourcelist"/>
        <w:spacing w:after="120"/>
        <w:rPr>
          <w:rStyle w:val="Hyperlink"/>
          <w:rFonts w:ascii="Arial" w:hAnsi="Arial" w:cs="Arial"/>
          <w:color w:val="0000FF"/>
        </w:rPr>
      </w:pPr>
      <w:hyperlink r:id="rId39" w:history="1">
        <w:r w:rsidR="00734BCD" w:rsidRPr="009D7753">
          <w:rPr>
            <w:rStyle w:val="Hyperlink"/>
            <w:rFonts w:ascii="Arial" w:hAnsi="Arial" w:cs="Arial"/>
            <w:color w:val="0000FF"/>
          </w:rPr>
          <w:t>National Ethics Advisory Committee</w:t>
        </w:r>
        <w:r w:rsidR="00AB7CD4" w:rsidRPr="009D7753">
          <w:rPr>
            <w:rStyle w:val="Hyperlink"/>
            <w:rFonts w:ascii="Arial" w:hAnsi="Arial" w:cs="Arial"/>
            <w:color w:val="0000FF"/>
          </w:rPr>
          <w:t>:</w:t>
        </w:r>
        <w:r w:rsidR="00734BCD" w:rsidRPr="009D7753">
          <w:rPr>
            <w:rStyle w:val="Hyperlink"/>
            <w:rFonts w:ascii="Arial" w:hAnsi="Arial" w:cs="Arial"/>
            <w:color w:val="0000FF"/>
          </w:rPr>
          <w:t xml:space="preserve"> Ethical challenges in advance care planning. Wellington, Ministry of Health, 2014</w:t>
        </w:r>
      </w:hyperlink>
    </w:p>
    <w:p w14:paraId="527DA2D7" w14:textId="7F87B3E6" w:rsidR="00734BCD" w:rsidRPr="009D7753" w:rsidRDefault="00CF1416" w:rsidP="009D7753">
      <w:pPr>
        <w:pStyle w:val="Resourcelist"/>
        <w:spacing w:after="120"/>
        <w:rPr>
          <w:rStyle w:val="Hyperlink"/>
          <w:rFonts w:ascii="Arial" w:hAnsi="Arial" w:cs="Arial"/>
          <w:color w:val="0000FF"/>
        </w:rPr>
      </w:pPr>
      <w:hyperlink r:id="rId40" w:history="1">
        <w:r w:rsidR="00734BCD" w:rsidRPr="009D7753">
          <w:rPr>
            <w:rStyle w:val="Hyperlink"/>
            <w:rFonts w:ascii="Arial" w:hAnsi="Arial" w:cs="Arial"/>
            <w:color w:val="0000FF"/>
          </w:rPr>
          <w:t>Health and Disability Commissioner: Fact Sheet 1: Consent for consumers who are not competent</w:t>
        </w:r>
      </w:hyperlink>
    </w:p>
    <w:p w14:paraId="38DCFDDA" w14:textId="23ED606B" w:rsidR="00734BCD" w:rsidRPr="009D7753" w:rsidRDefault="002E236E" w:rsidP="009D7753">
      <w:pPr>
        <w:pStyle w:val="Resourcelist"/>
        <w:spacing w:after="120"/>
        <w:rPr>
          <w:rStyle w:val="Hyperlink"/>
          <w:rFonts w:ascii="Arial" w:hAnsi="Arial" w:cs="Arial"/>
          <w:color w:val="0000FF"/>
        </w:rPr>
      </w:pPr>
      <w:r w:rsidRPr="009D7753">
        <w:rPr>
          <w:rStyle w:val="Hyperlink"/>
          <w:rFonts w:ascii="Arial" w:hAnsi="Arial" w:cs="Arial"/>
          <w:color w:val="0000FF"/>
        </w:rPr>
        <w:fldChar w:fldCharType="begin"/>
      </w:r>
      <w:r w:rsidRPr="009D7753">
        <w:rPr>
          <w:rStyle w:val="Hyperlink"/>
          <w:rFonts w:ascii="Arial" w:hAnsi="Arial" w:cs="Arial"/>
          <w:color w:val="0000FF"/>
        </w:rPr>
        <w:instrText xml:space="preserve"> HYPERLINK "https://www.hdc.org.nz/resources-publications/search-resources/fact-sheets/do-not-resuscitate-dnr-orders-fact-sheet-2/" </w:instrText>
      </w:r>
      <w:r w:rsidRPr="009D7753">
        <w:rPr>
          <w:rStyle w:val="Hyperlink"/>
          <w:rFonts w:ascii="Arial" w:hAnsi="Arial" w:cs="Arial"/>
          <w:color w:val="0000FF"/>
        </w:rPr>
        <w:fldChar w:fldCharType="separate"/>
      </w:r>
      <w:r w:rsidR="00734BCD" w:rsidRPr="009D7753">
        <w:rPr>
          <w:rStyle w:val="Hyperlink"/>
          <w:rFonts w:ascii="Arial" w:hAnsi="Arial" w:cs="Arial"/>
          <w:color w:val="0000FF"/>
        </w:rPr>
        <w:t>Health and Disability Commissioner: Fact Sheet 2: “Do Not Resuscitate” (DNR) orders</w:t>
      </w:r>
    </w:p>
    <w:p w14:paraId="7561BA75" w14:textId="4D6D6A3A" w:rsidR="00AB7CD4" w:rsidRPr="009D7753" w:rsidRDefault="002E236E" w:rsidP="009D7753">
      <w:pPr>
        <w:pStyle w:val="Resourcelist"/>
        <w:spacing w:after="120"/>
        <w:rPr>
          <w:rStyle w:val="Hyperlink"/>
          <w:rFonts w:ascii="Arial" w:hAnsi="Arial" w:cs="Arial"/>
          <w:color w:val="0000FF"/>
        </w:rPr>
      </w:pPr>
      <w:r w:rsidRPr="009D7753">
        <w:rPr>
          <w:rStyle w:val="Hyperlink"/>
          <w:rFonts w:ascii="Arial" w:hAnsi="Arial" w:cs="Arial"/>
          <w:color w:val="0000FF"/>
        </w:rPr>
        <w:fldChar w:fldCharType="end"/>
      </w:r>
      <w:hyperlink r:id="rId41" w:history="1">
        <w:r w:rsidR="00AB7CD4" w:rsidRPr="009D7753">
          <w:rPr>
            <w:rStyle w:val="Hyperlink"/>
            <w:rFonts w:ascii="Arial" w:hAnsi="Arial" w:cs="Arial"/>
            <w:color w:val="0000FF"/>
          </w:rPr>
          <w:t>New Zealand Medical Association: Advance directive</w:t>
        </w:r>
      </w:hyperlink>
    </w:p>
    <w:p w14:paraId="717BEA85" w14:textId="77777777" w:rsidR="00300027" w:rsidRDefault="00300027" w:rsidP="0053244A">
      <w:pPr>
        <w:spacing w:before="240" w:after="120"/>
        <w:rPr>
          <w:b/>
          <w:color w:val="auto"/>
          <w:sz w:val="24"/>
        </w:rPr>
      </w:pPr>
    </w:p>
    <w:bookmarkEnd w:id="8"/>
    <w:bookmarkEnd w:id="9"/>
    <w:bookmarkEnd w:id="10"/>
    <w:bookmarkEnd w:id="11"/>
    <w:p w14:paraId="0029B385" w14:textId="5AD8A019" w:rsidR="00F628F5" w:rsidRDefault="00F628F5">
      <w:pPr>
        <w:spacing w:after="0"/>
        <w:rPr>
          <w:b/>
          <w:color w:val="auto"/>
          <w:sz w:val="24"/>
        </w:rPr>
      </w:pPr>
    </w:p>
    <w:p w14:paraId="4382D46C" w14:textId="31ED9DA2" w:rsidR="00F628F5" w:rsidRDefault="00F628F5">
      <w:pPr>
        <w:spacing w:after="0"/>
        <w:rPr>
          <w:b/>
          <w:color w:val="auto"/>
          <w:sz w:val="24"/>
        </w:rPr>
      </w:pPr>
    </w:p>
    <w:p w14:paraId="03C522BA" w14:textId="77777777" w:rsidR="00F628F5" w:rsidRDefault="00F628F5">
      <w:pPr>
        <w:spacing w:after="0"/>
        <w:rPr>
          <w:b/>
          <w:color w:val="auto"/>
          <w:sz w:val="24"/>
        </w:rPr>
      </w:pPr>
      <w:r>
        <w:rPr>
          <w:b/>
          <w:color w:val="auto"/>
          <w:sz w:val="24"/>
        </w:rPr>
        <w:br w:type="page"/>
      </w:r>
    </w:p>
    <w:p w14:paraId="01390994" w14:textId="77777777" w:rsidR="00735AE4" w:rsidRDefault="00735AE4" w:rsidP="006D1166">
      <w:pPr>
        <w:pStyle w:val="Heading1"/>
      </w:pPr>
      <w:bookmarkStart w:id="29" w:name="_Hlk4402333"/>
    </w:p>
    <w:p w14:paraId="6A1F6684" w14:textId="77777777" w:rsidR="00735AE4" w:rsidRDefault="00735AE4" w:rsidP="006D1166">
      <w:pPr>
        <w:pStyle w:val="Heading1"/>
      </w:pPr>
    </w:p>
    <w:p w14:paraId="6D8DDC95" w14:textId="77777777" w:rsidR="00735AE4" w:rsidRDefault="00735AE4" w:rsidP="006D1166">
      <w:pPr>
        <w:pStyle w:val="Heading1"/>
      </w:pPr>
    </w:p>
    <w:p w14:paraId="181DFB3F" w14:textId="77777777" w:rsidR="00735AE4" w:rsidRDefault="00735AE4" w:rsidP="006D1166">
      <w:pPr>
        <w:pStyle w:val="Heading1"/>
      </w:pPr>
    </w:p>
    <w:p w14:paraId="16C9353F" w14:textId="77777777" w:rsidR="00735AE4" w:rsidRDefault="00735AE4" w:rsidP="006D1166">
      <w:pPr>
        <w:pStyle w:val="Heading1"/>
      </w:pPr>
    </w:p>
    <w:p w14:paraId="392E94B6" w14:textId="77777777" w:rsidR="00735AE4" w:rsidRDefault="00735AE4" w:rsidP="006D1166">
      <w:pPr>
        <w:pStyle w:val="Heading1"/>
      </w:pPr>
    </w:p>
    <w:p w14:paraId="23D2ED0E" w14:textId="77777777" w:rsidR="00735AE4" w:rsidRDefault="00735AE4" w:rsidP="006D1166">
      <w:pPr>
        <w:pStyle w:val="Heading1"/>
      </w:pPr>
    </w:p>
    <w:p w14:paraId="515C3495" w14:textId="77777777" w:rsidR="00735AE4" w:rsidRDefault="00735AE4" w:rsidP="006D1166">
      <w:pPr>
        <w:pStyle w:val="Heading1"/>
      </w:pPr>
    </w:p>
    <w:p w14:paraId="71D18D59" w14:textId="77777777" w:rsidR="00735AE4" w:rsidRDefault="00735AE4" w:rsidP="006D1166">
      <w:pPr>
        <w:pStyle w:val="Heading1"/>
      </w:pPr>
    </w:p>
    <w:p w14:paraId="1D93C082" w14:textId="77777777" w:rsidR="00735AE4" w:rsidRDefault="00735AE4" w:rsidP="006D1166">
      <w:pPr>
        <w:pStyle w:val="Heading1"/>
      </w:pPr>
    </w:p>
    <w:p w14:paraId="0B792095" w14:textId="0F28716B" w:rsidR="00DA570F" w:rsidRDefault="00DA570F" w:rsidP="006D1166">
      <w:pPr>
        <w:pStyle w:val="Heading1"/>
        <w:rPr>
          <w:b w:val="0"/>
        </w:rPr>
      </w:pPr>
      <w:bookmarkStart w:id="30" w:name="_Toc6998659"/>
      <w:r w:rsidRPr="000C6773">
        <w:t>Section</w:t>
      </w:r>
      <w:r w:rsidRPr="0055408F">
        <w:t xml:space="preserve"> </w:t>
      </w:r>
      <w:r>
        <w:t>2</w:t>
      </w:r>
      <w:bookmarkEnd w:id="29"/>
      <w:r w:rsidR="006D1166">
        <w:t xml:space="preserve">: </w:t>
      </w:r>
      <w:r w:rsidRPr="0055408F">
        <w:rPr>
          <w:b w:val="0"/>
        </w:rPr>
        <w:t xml:space="preserve">Tikanga </w:t>
      </w:r>
      <w:r>
        <w:rPr>
          <w:b w:val="0"/>
        </w:rPr>
        <w:t>haumaru</w:t>
      </w:r>
      <w:r w:rsidRPr="0055408F">
        <w:rPr>
          <w:b w:val="0"/>
        </w:rPr>
        <w:t xml:space="preserve"> | P</w:t>
      </w:r>
      <w:r>
        <w:rPr>
          <w:b w:val="0"/>
        </w:rPr>
        <w:t>remise accessibility, safety and comfort</w:t>
      </w:r>
      <w:bookmarkEnd w:id="30"/>
    </w:p>
    <w:p w14:paraId="05EDBCA2" w14:textId="77777777" w:rsidR="00DA570F" w:rsidRDefault="00DA570F">
      <w:pPr>
        <w:spacing w:after="0"/>
        <w:rPr>
          <w:b/>
          <w:color w:val="EE7624"/>
          <w:sz w:val="56"/>
          <w:szCs w:val="56"/>
        </w:rPr>
      </w:pPr>
      <w:r>
        <w:rPr>
          <w:b/>
          <w:color w:val="EE7624"/>
          <w:sz w:val="56"/>
          <w:szCs w:val="56"/>
        </w:rPr>
        <w:br w:type="page"/>
      </w:r>
    </w:p>
    <w:p w14:paraId="705214DF" w14:textId="02B3ADC6" w:rsidR="00760F5F" w:rsidRPr="00922B79" w:rsidRDefault="00990B91" w:rsidP="006D11A9">
      <w:pPr>
        <w:pStyle w:val="HHLSubHeading"/>
        <w:numPr>
          <w:ilvl w:val="0"/>
          <w:numId w:val="0"/>
        </w:numPr>
        <w:tabs>
          <w:tab w:val="left" w:pos="1560"/>
        </w:tabs>
        <w:rPr>
          <w:color w:val="FF0000"/>
        </w:rPr>
      </w:pPr>
      <w:bookmarkStart w:id="31" w:name="_Toc6998660"/>
      <w:bookmarkStart w:id="32" w:name="_Hlk4402486"/>
      <w:r w:rsidRPr="00902640">
        <w:lastRenderedPageBreak/>
        <w:t xml:space="preserve">Indicator </w:t>
      </w:r>
      <w:r>
        <w:t>6</w:t>
      </w:r>
      <w:r w:rsidRPr="00902640">
        <w:t>.</w:t>
      </w:r>
      <w:r>
        <w:t xml:space="preserve"> </w:t>
      </w:r>
      <w:r w:rsidR="006D11A9">
        <w:tab/>
      </w:r>
      <w:r w:rsidR="00760F5F">
        <w:t>Premise accessibility</w:t>
      </w:r>
      <w:bookmarkEnd w:id="31"/>
    </w:p>
    <w:p w14:paraId="6959AFAE" w14:textId="655B0816" w:rsidR="00990B91" w:rsidRPr="00760F5F" w:rsidRDefault="0059230A" w:rsidP="00760F5F">
      <w:pPr>
        <w:pStyle w:val="HHLBodyText"/>
        <w:rPr>
          <w:b/>
        </w:rPr>
      </w:pPr>
      <w:r w:rsidRPr="00760F5F">
        <w:rPr>
          <w:b/>
        </w:rPr>
        <w:t>Our premise is safe and accessible for team members and patients</w:t>
      </w:r>
      <w:r w:rsidR="00990B91" w:rsidRPr="00760F5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539"/>
        <w:gridCol w:w="4051"/>
      </w:tblGrid>
      <w:tr w:rsidR="00990B91" w:rsidRPr="002E71B3" w14:paraId="46D3D3B5" w14:textId="77777777" w:rsidTr="00831A94">
        <w:tc>
          <w:tcPr>
            <w:tcW w:w="1153" w:type="dxa"/>
            <w:shd w:val="clear" w:color="auto" w:fill="FBD4B4" w:themeFill="accent6" w:themeFillTint="66"/>
          </w:tcPr>
          <w:p w14:paraId="30B591BC" w14:textId="77777777" w:rsidR="00990B91" w:rsidRPr="002E71B3" w:rsidRDefault="00990B91" w:rsidP="004524BF">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40A4A5E0" w14:textId="77777777" w:rsidR="00990B91" w:rsidRPr="002E71B3" w:rsidRDefault="00990B91" w:rsidP="004524BF">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077C4E48" w14:textId="25FF7447" w:rsidR="00990B91" w:rsidRPr="002E71B3" w:rsidRDefault="00990B91" w:rsidP="004524BF">
            <w:pPr>
              <w:spacing w:before="120" w:after="120"/>
              <w:rPr>
                <w:b/>
                <w:color w:val="auto"/>
                <w:sz w:val="22"/>
                <w:szCs w:val="22"/>
              </w:rPr>
            </w:pPr>
            <w:r w:rsidRPr="002E71B3">
              <w:rPr>
                <w:b/>
                <w:color w:val="auto"/>
                <w:sz w:val="22"/>
                <w:szCs w:val="22"/>
              </w:rPr>
              <w:t>Required evidence</w:t>
            </w:r>
          </w:p>
        </w:tc>
      </w:tr>
      <w:tr w:rsidR="00FC7184" w:rsidRPr="002E71B3" w14:paraId="294B1B54" w14:textId="77777777" w:rsidTr="001547D8">
        <w:tc>
          <w:tcPr>
            <w:tcW w:w="1153" w:type="dxa"/>
          </w:tcPr>
          <w:p w14:paraId="476D9F65" w14:textId="50E897CD" w:rsidR="00FC7184" w:rsidRDefault="00FC7184" w:rsidP="00FC7184">
            <w:pPr>
              <w:spacing w:before="60"/>
              <w:rPr>
                <w:color w:val="auto"/>
                <w:sz w:val="22"/>
                <w:szCs w:val="22"/>
              </w:rPr>
            </w:pPr>
            <w:r>
              <w:rPr>
                <w:color w:val="auto"/>
                <w:sz w:val="22"/>
                <w:szCs w:val="22"/>
              </w:rPr>
              <w:t>6.1</w:t>
            </w:r>
          </w:p>
        </w:tc>
        <w:tc>
          <w:tcPr>
            <w:tcW w:w="4568" w:type="dxa"/>
          </w:tcPr>
          <w:p w14:paraId="5388BAF5" w14:textId="194C6254" w:rsidR="00FC7184" w:rsidRPr="00CC4CE1" w:rsidRDefault="00FC7184" w:rsidP="00FC7184">
            <w:pPr>
              <w:spacing w:before="60"/>
              <w:rPr>
                <w:color w:val="auto"/>
                <w:sz w:val="22"/>
                <w:szCs w:val="22"/>
              </w:rPr>
            </w:pPr>
            <w:r>
              <w:rPr>
                <w:color w:val="auto"/>
                <w:sz w:val="22"/>
                <w:szCs w:val="22"/>
              </w:rPr>
              <w:t>Provide e</w:t>
            </w:r>
            <w:r w:rsidRPr="00356116">
              <w:rPr>
                <w:color w:val="auto"/>
                <w:sz w:val="22"/>
                <w:szCs w:val="22"/>
              </w:rPr>
              <w:t>xternal signage that is clear, visible, well placed, and readable from a distance</w:t>
            </w:r>
            <w:r>
              <w:rPr>
                <w:color w:val="auto"/>
                <w:sz w:val="22"/>
                <w:szCs w:val="22"/>
              </w:rPr>
              <w:t>.</w:t>
            </w:r>
          </w:p>
        </w:tc>
        <w:tc>
          <w:tcPr>
            <w:tcW w:w="4075" w:type="dxa"/>
            <w:vMerge w:val="restart"/>
            <w:vAlign w:val="center"/>
          </w:tcPr>
          <w:p w14:paraId="534EE54D" w14:textId="59460993" w:rsidR="00FC7184" w:rsidRPr="001547D8" w:rsidRDefault="00570807" w:rsidP="00FC7184">
            <w:pPr>
              <w:pStyle w:val="FootnoteText"/>
              <w:rPr>
                <w:color w:val="auto"/>
                <w:sz w:val="22"/>
                <w:szCs w:val="22"/>
                <w:lang w:val="en-NZ"/>
              </w:rPr>
            </w:pPr>
            <w:bookmarkStart w:id="33" w:name="_Hlk6397402"/>
            <w:r>
              <w:rPr>
                <w:color w:val="auto"/>
                <w:sz w:val="22"/>
                <w:szCs w:val="22"/>
                <w:lang w:val="en-NZ"/>
              </w:rPr>
              <w:t>Demonstrate premise</w:t>
            </w:r>
            <w:r w:rsidR="0069748E">
              <w:rPr>
                <w:color w:val="auto"/>
                <w:sz w:val="22"/>
                <w:szCs w:val="22"/>
                <w:lang w:val="en-NZ"/>
              </w:rPr>
              <w:t xml:space="preserve"> meets criteria requirements and</w:t>
            </w:r>
            <w:r>
              <w:rPr>
                <w:color w:val="auto"/>
                <w:sz w:val="22"/>
                <w:szCs w:val="22"/>
                <w:lang w:val="en-NZ"/>
              </w:rPr>
              <w:t xml:space="preserve"> are fit for purpose. </w:t>
            </w:r>
          </w:p>
          <w:bookmarkEnd w:id="33"/>
          <w:p w14:paraId="3F793DF8" w14:textId="1FE5F0AD" w:rsidR="00FC7184" w:rsidRDefault="00FC7184" w:rsidP="00FC7184">
            <w:pPr>
              <w:spacing w:before="60"/>
              <w:rPr>
                <w:color w:val="auto"/>
                <w:sz w:val="22"/>
                <w:szCs w:val="22"/>
              </w:rPr>
            </w:pPr>
          </w:p>
        </w:tc>
      </w:tr>
      <w:tr w:rsidR="00FC7184" w:rsidRPr="002E71B3" w14:paraId="7D82731A" w14:textId="77777777" w:rsidTr="00831A94">
        <w:tc>
          <w:tcPr>
            <w:tcW w:w="1153" w:type="dxa"/>
          </w:tcPr>
          <w:p w14:paraId="41641CE3" w14:textId="59815E6C" w:rsidR="00FC7184" w:rsidRPr="002E71B3" w:rsidRDefault="00FC7184" w:rsidP="00FC7184">
            <w:pPr>
              <w:spacing w:before="60"/>
              <w:rPr>
                <w:color w:val="auto"/>
                <w:sz w:val="22"/>
                <w:szCs w:val="22"/>
              </w:rPr>
            </w:pPr>
            <w:r>
              <w:rPr>
                <w:color w:val="auto"/>
                <w:sz w:val="22"/>
                <w:szCs w:val="22"/>
              </w:rPr>
              <w:t>6</w:t>
            </w:r>
            <w:r w:rsidRPr="002E71B3">
              <w:rPr>
                <w:color w:val="auto"/>
                <w:sz w:val="22"/>
                <w:szCs w:val="22"/>
              </w:rPr>
              <w:t>.</w:t>
            </w:r>
            <w:r>
              <w:rPr>
                <w:color w:val="auto"/>
                <w:sz w:val="22"/>
                <w:szCs w:val="22"/>
              </w:rPr>
              <w:t>2</w:t>
            </w:r>
          </w:p>
        </w:tc>
        <w:tc>
          <w:tcPr>
            <w:tcW w:w="4568" w:type="dxa"/>
          </w:tcPr>
          <w:p w14:paraId="38B51339" w14:textId="775AE82A" w:rsidR="00FC7184" w:rsidRPr="002E71B3" w:rsidRDefault="00FC7184" w:rsidP="00FC7184">
            <w:pPr>
              <w:spacing w:before="60"/>
              <w:rPr>
                <w:color w:val="auto"/>
                <w:sz w:val="22"/>
                <w:szCs w:val="22"/>
              </w:rPr>
            </w:pPr>
            <w:r w:rsidRPr="00356116">
              <w:rPr>
                <w:color w:val="auto"/>
                <w:sz w:val="22"/>
                <w:szCs w:val="22"/>
              </w:rPr>
              <w:t xml:space="preserve">Ensure </w:t>
            </w:r>
            <w:r w:rsidR="00856407">
              <w:rPr>
                <w:color w:val="auto"/>
                <w:sz w:val="22"/>
                <w:szCs w:val="22"/>
              </w:rPr>
              <w:t xml:space="preserve">the </w:t>
            </w:r>
            <w:r w:rsidR="00856407" w:rsidRPr="00356116">
              <w:rPr>
                <w:color w:val="auto"/>
                <w:sz w:val="22"/>
                <w:szCs w:val="22"/>
              </w:rPr>
              <w:t>practice</w:t>
            </w:r>
            <w:r w:rsidRPr="00356116">
              <w:rPr>
                <w:color w:val="auto"/>
                <w:sz w:val="22"/>
                <w:szCs w:val="22"/>
              </w:rPr>
              <w:t xml:space="preserve"> has adequate space, seating, heating, lighting and ventilation</w:t>
            </w:r>
            <w:r>
              <w:rPr>
                <w:color w:val="auto"/>
                <w:sz w:val="22"/>
                <w:szCs w:val="22"/>
              </w:rPr>
              <w:t>.</w:t>
            </w:r>
          </w:p>
        </w:tc>
        <w:tc>
          <w:tcPr>
            <w:tcW w:w="4075" w:type="dxa"/>
            <w:vMerge/>
          </w:tcPr>
          <w:p w14:paraId="15AF349F" w14:textId="52B51FDB" w:rsidR="00FC7184" w:rsidRPr="002E71B3" w:rsidRDefault="00FC7184" w:rsidP="00FC7184">
            <w:pPr>
              <w:spacing w:before="60"/>
              <w:rPr>
                <w:color w:val="auto"/>
                <w:sz w:val="22"/>
                <w:szCs w:val="22"/>
              </w:rPr>
            </w:pPr>
          </w:p>
        </w:tc>
      </w:tr>
      <w:tr w:rsidR="00FC7184" w:rsidRPr="002E71B3" w14:paraId="75522622" w14:textId="77777777" w:rsidTr="00831A94">
        <w:tc>
          <w:tcPr>
            <w:tcW w:w="1153" w:type="dxa"/>
          </w:tcPr>
          <w:p w14:paraId="1086A742" w14:textId="30606CC3" w:rsidR="00FC7184" w:rsidRDefault="00FC7184" w:rsidP="00FC7184">
            <w:pPr>
              <w:spacing w:before="60"/>
              <w:rPr>
                <w:color w:val="auto"/>
                <w:sz w:val="22"/>
                <w:szCs w:val="22"/>
              </w:rPr>
            </w:pPr>
            <w:r>
              <w:rPr>
                <w:color w:val="auto"/>
                <w:sz w:val="22"/>
                <w:szCs w:val="22"/>
              </w:rPr>
              <w:t>6.3</w:t>
            </w:r>
          </w:p>
        </w:tc>
        <w:tc>
          <w:tcPr>
            <w:tcW w:w="4568" w:type="dxa"/>
          </w:tcPr>
          <w:p w14:paraId="18CB375E" w14:textId="225B2620" w:rsidR="00FC7184" w:rsidRPr="004C61CD" w:rsidRDefault="00FC7184" w:rsidP="00FC7184">
            <w:pPr>
              <w:spacing w:before="60"/>
              <w:rPr>
                <w:color w:val="auto"/>
                <w:sz w:val="22"/>
                <w:szCs w:val="22"/>
              </w:rPr>
            </w:pPr>
            <w:r w:rsidRPr="00356116">
              <w:rPr>
                <w:color w:val="auto"/>
                <w:sz w:val="22"/>
                <w:szCs w:val="22"/>
              </w:rPr>
              <w:t>Provide appropriate seating for patients with mobility and/or other needs</w:t>
            </w:r>
            <w:r>
              <w:rPr>
                <w:color w:val="auto"/>
                <w:sz w:val="22"/>
                <w:szCs w:val="22"/>
              </w:rPr>
              <w:t>.</w:t>
            </w:r>
          </w:p>
        </w:tc>
        <w:tc>
          <w:tcPr>
            <w:tcW w:w="4075" w:type="dxa"/>
            <w:vMerge/>
          </w:tcPr>
          <w:p w14:paraId="4717C0F4" w14:textId="77777777" w:rsidR="00FC7184" w:rsidRPr="004C61CD" w:rsidRDefault="00FC7184" w:rsidP="00FC7184">
            <w:pPr>
              <w:spacing w:before="60"/>
              <w:rPr>
                <w:color w:val="auto"/>
                <w:sz w:val="22"/>
                <w:szCs w:val="22"/>
              </w:rPr>
            </w:pPr>
          </w:p>
        </w:tc>
      </w:tr>
      <w:tr w:rsidR="00FC7184" w:rsidRPr="002E71B3" w14:paraId="0BF28E97" w14:textId="77777777" w:rsidTr="00831A94">
        <w:tc>
          <w:tcPr>
            <w:tcW w:w="1153" w:type="dxa"/>
          </w:tcPr>
          <w:p w14:paraId="6B8DC9DB" w14:textId="77AEB954" w:rsidR="00FC7184" w:rsidRDefault="00FC7184" w:rsidP="00FC7184">
            <w:pPr>
              <w:spacing w:before="60"/>
              <w:rPr>
                <w:color w:val="auto"/>
                <w:sz w:val="22"/>
                <w:szCs w:val="22"/>
              </w:rPr>
            </w:pPr>
            <w:r>
              <w:rPr>
                <w:color w:val="auto"/>
                <w:sz w:val="22"/>
                <w:szCs w:val="22"/>
              </w:rPr>
              <w:t>6.4</w:t>
            </w:r>
          </w:p>
        </w:tc>
        <w:tc>
          <w:tcPr>
            <w:tcW w:w="4568" w:type="dxa"/>
          </w:tcPr>
          <w:p w14:paraId="3985B8CA" w14:textId="47EBDFA1" w:rsidR="00FC7184" w:rsidRPr="000C7082" w:rsidRDefault="00FC7184" w:rsidP="00FC7184">
            <w:pPr>
              <w:spacing w:before="60"/>
              <w:rPr>
                <w:color w:val="auto"/>
                <w:sz w:val="22"/>
                <w:szCs w:val="22"/>
              </w:rPr>
            </w:pPr>
            <w:r w:rsidRPr="00356116">
              <w:rPr>
                <w:color w:val="auto"/>
                <w:sz w:val="22"/>
                <w:szCs w:val="22"/>
              </w:rPr>
              <w:t xml:space="preserve">Ensure there </w:t>
            </w:r>
            <w:r w:rsidR="00856407">
              <w:rPr>
                <w:color w:val="auto"/>
                <w:sz w:val="22"/>
                <w:szCs w:val="22"/>
              </w:rPr>
              <w:t xml:space="preserve">are </w:t>
            </w:r>
            <w:r w:rsidR="004E44D3">
              <w:rPr>
                <w:color w:val="auto"/>
                <w:sz w:val="22"/>
                <w:szCs w:val="22"/>
              </w:rPr>
              <w:t xml:space="preserve">disability </w:t>
            </w:r>
            <w:r w:rsidR="004E44D3" w:rsidRPr="00356116">
              <w:rPr>
                <w:color w:val="auto"/>
                <w:sz w:val="22"/>
                <w:szCs w:val="22"/>
              </w:rPr>
              <w:t>accessible</w:t>
            </w:r>
            <w:r w:rsidRPr="00356116">
              <w:rPr>
                <w:color w:val="auto"/>
                <w:sz w:val="22"/>
                <w:szCs w:val="22"/>
              </w:rPr>
              <w:t xml:space="preserve"> entrance</w:t>
            </w:r>
            <w:r>
              <w:rPr>
                <w:color w:val="auto"/>
                <w:sz w:val="22"/>
                <w:szCs w:val="22"/>
              </w:rPr>
              <w:t>s</w:t>
            </w:r>
            <w:r w:rsidRPr="00356116">
              <w:rPr>
                <w:color w:val="auto"/>
                <w:sz w:val="22"/>
                <w:szCs w:val="22"/>
              </w:rPr>
              <w:t xml:space="preserve"> and doorways</w:t>
            </w:r>
            <w:r>
              <w:rPr>
                <w:color w:val="auto"/>
                <w:sz w:val="22"/>
                <w:szCs w:val="22"/>
              </w:rPr>
              <w:t>.</w:t>
            </w:r>
          </w:p>
        </w:tc>
        <w:tc>
          <w:tcPr>
            <w:tcW w:w="4075" w:type="dxa"/>
            <w:vMerge/>
          </w:tcPr>
          <w:p w14:paraId="5A0EFC51" w14:textId="1D30C7C7" w:rsidR="00FC7184" w:rsidRPr="004C61CD" w:rsidRDefault="00FC7184" w:rsidP="00FC7184">
            <w:pPr>
              <w:spacing w:before="60"/>
              <w:rPr>
                <w:color w:val="auto"/>
                <w:sz w:val="22"/>
                <w:szCs w:val="22"/>
              </w:rPr>
            </w:pPr>
          </w:p>
        </w:tc>
      </w:tr>
      <w:tr w:rsidR="00FC7184" w:rsidRPr="002E71B3" w14:paraId="77AC7669" w14:textId="77777777" w:rsidTr="00831A94">
        <w:tc>
          <w:tcPr>
            <w:tcW w:w="1153" w:type="dxa"/>
          </w:tcPr>
          <w:p w14:paraId="7354DE31" w14:textId="3BC73740" w:rsidR="00FC7184" w:rsidRDefault="00FC7184" w:rsidP="00FC7184">
            <w:pPr>
              <w:spacing w:before="60"/>
              <w:rPr>
                <w:color w:val="auto"/>
                <w:sz w:val="22"/>
                <w:szCs w:val="22"/>
              </w:rPr>
            </w:pPr>
            <w:r>
              <w:rPr>
                <w:color w:val="auto"/>
                <w:sz w:val="22"/>
                <w:szCs w:val="22"/>
              </w:rPr>
              <w:t>6.5</w:t>
            </w:r>
          </w:p>
        </w:tc>
        <w:tc>
          <w:tcPr>
            <w:tcW w:w="4568" w:type="dxa"/>
          </w:tcPr>
          <w:p w14:paraId="19DCE581" w14:textId="2972C0A0" w:rsidR="00FC7184" w:rsidRPr="00CC4CE1" w:rsidRDefault="00FC7184" w:rsidP="00FC7184">
            <w:pPr>
              <w:spacing w:before="60"/>
              <w:rPr>
                <w:color w:val="auto"/>
                <w:sz w:val="22"/>
                <w:szCs w:val="22"/>
              </w:rPr>
            </w:pPr>
            <w:r w:rsidRPr="00356116">
              <w:rPr>
                <w:color w:val="auto"/>
                <w:sz w:val="22"/>
                <w:szCs w:val="22"/>
              </w:rPr>
              <w:t>Provide examination couches that are accessible</w:t>
            </w:r>
            <w:r w:rsidR="00223E5A">
              <w:rPr>
                <w:color w:val="auto"/>
                <w:sz w:val="22"/>
                <w:szCs w:val="22"/>
              </w:rPr>
              <w:t xml:space="preserve"> and</w:t>
            </w:r>
            <w:r w:rsidRPr="00356116">
              <w:rPr>
                <w:color w:val="auto"/>
                <w:sz w:val="22"/>
                <w:szCs w:val="22"/>
              </w:rPr>
              <w:t xml:space="preserve"> safe</w:t>
            </w:r>
            <w:r w:rsidR="00223E5A">
              <w:rPr>
                <w:color w:val="auto"/>
                <w:sz w:val="22"/>
                <w:szCs w:val="22"/>
              </w:rPr>
              <w:t>.</w:t>
            </w:r>
          </w:p>
        </w:tc>
        <w:tc>
          <w:tcPr>
            <w:tcW w:w="4075" w:type="dxa"/>
            <w:vMerge/>
          </w:tcPr>
          <w:p w14:paraId="4A5D4853" w14:textId="77777777" w:rsidR="00FC7184" w:rsidRPr="004C61CD" w:rsidRDefault="00FC7184" w:rsidP="00FC7184">
            <w:pPr>
              <w:spacing w:before="60"/>
              <w:rPr>
                <w:color w:val="auto"/>
                <w:sz w:val="22"/>
                <w:szCs w:val="22"/>
              </w:rPr>
            </w:pPr>
          </w:p>
        </w:tc>
      </w:tr>
    </w:tbl>
    <w:p w14:paraId="1E793743" w14:textId="77777777" w:rsidR="00831A94" w:rsidRPr="005B2DE1" w:rsidRDefault="00831A94" w:rsidP="00831A94">
      <w:pPr>
        <w:pStyle w:val="HHLBodyText"/>
        <w:spacing w:before="240"/>
        <w:rPr>
          <w:b/>
          <w:sz w:val="22"/>
          <w:szCs w:val="22"/>
        </w:rPr>
      </w:pPr>
      <w:r w:rsidRPr="005B2DE1">
        <w:rPr>
          <w:b/>
          <w:sz w:val="22"/>
          <w:szCs w:val="22"/>
        </w:rPr>
        <w:t>Required training</w:t>
      </w:r>
    </w:p>
    <w:p w14:paraId="3BDE4FA9" w14:textId="38DD76BE" w:rsidR="004E59FB" w:rsidRPr="00EF0A0E" w:rsidRDefault="005732B0"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3514CBF0" w14:textId="76CCED96" w:rsidR="00356116" w:rsidRDefault="00356116" w:rsidP="00356116">
      <w:pPr>
        <w:pStyle w:val="HHLBodyText"/>
        <w:spacing w:before="240"/>
        <w:rPr>
          <w:b/>
          <w:sz w:val="22"/>
          <w:szCs w:val="22"/>
        </w:rPr>
      </w:pPr>
      <w:r w:rsidRPr="005B2DE1">
        <w:rPr>
          <w:b/>
          <w:sz w:val="22"/>
          <w:szCs w:val="22"/>
        </w:rPr>
        <w:t>Guidance notes</w:t>
      </w:r>
    </w:p>
    <w:p w14:paraId="41AD0DE6" w14:textId="5616588E" w:rsidR="00214C45" w:rsidRDefault="00214C45" w:rsidP="00214C45">
      <w:pPr>
        <w:pStyle w:val="HHLBodyText"/>
        <w:rPr>
          <w:sz w:val="22"/>
          <w:szCs w:val="22"/>
        </w:rPr>
      </w:pPr>
      <w:bookmarkStart w:id="34" w:name="_Hlk4572480"/>
      <w:r w:rsidRPr="00556A19">
        <w:rPr>
          <w:sz w:val="22"/>
          <w:szCs w:val="22"/>
        </w:rPr>
        <w:t xml:space="preserve">The practice premise is </w:t>
      </w:r>
      <w:r>
        <w:rPr>
          <w:sz w:val="22"/>
          <w:szCs w:val="22"/>
        </w:rPr>
        <w:t xml:space="preserve">required to be </w:t>
      </w:r>
      <w:r w:rsidRPr="00556A19">
        <w:rPr>
          <w:sz w:val="22"/>
          <w:szCs w:val="22"/>
        </w:rPr>
        <w:t>sa</w:t>
      </w:r>
      <w:r>
        <w:rPr>
          <w:sz w:val="22"/>
          <w:szCs w:val="22"/>
        </w:rPr>
        <w:t>f</w:t>
      </w:r>
      <w:r w:rsidRPr="00556A19">
        <w:rPr>
          <w:sz w:val="22"/>
          <w:szCs w:val="22"/>
        </w:rPr>
        <w:t>e and accessible for team members</w:t>
      </w:r>
      <w:r>
        <w:rPr>
          <w:sz w:val="22"/>
          <w:szCs w:val="22"/>
        </w:rPr>
        <w:t xml:space="preserve"> and </w:t>
      </w:r>
      <w:r w:rsidRPr="00556A19">
        <w:rPr>
          <w:sz w:val="22"/>
          <w:szCs w:val="22"/>
        </w:rPr>
        <w:t>patients</w:t>
      </w:r>
      <w:r>
        <w:rPr>
          <w:sz w:val="22"/>
          <w:szCs w:val="22"/>
        </w:rPr>
        <w:t xml:space="preserve">. It is however </w:t>
      </w:r>
      <w:r w:rsidRPr="00556A19">
        <w:rPr>
          <w:sz w:val="22"/>
          <w:szCs w:val="22"/>
        </w:rPr>
        <w:t>the business owner</w:t>
      </w:r>
      <w:r>
        <w:rPr>
          <w:sz w:val="22"/>
          <w:szCs w:val="22"/>
        </w:rPr>
        <w:t>’</w:t>
      </w:r>
      <w:r w:rsidRPr="00556A19">
        <w:rPr>
          <w:sz w:val="22"/>
          <w:szCs w:val="22"/>
        </w:rPr>
        <w:t>s responsib</w:t>
      </w:r>
      <w:r>
        <w:rPr>
          <w:sz w:val="22"/>
          <w:szCs w:val="22"/>
        </w:rPr>
        <w:t xml:space="preserve">ility </w:t>
      </w:r>
      <w:r w:rsidRPr="00556A19">
        <w:rPr>
          <w:sz w:val="22"/>
          <w:szCs w:val="22"/>
        </w:rPr>
        <w:t xml:space="preserve">ensure all </w:t>
      </w:r>
      <w:r>
        <w:rPr>
          <w:sz w:val="22"/>
          <w:szCs w:val="22"/>
        </w:rPr>
        <w:t xml:space="preserve">legislative requirements and </w:t>
      </w:r>
      <w:r w:rsidRPr="00556A19">
        <w:rPr>
          <w:sz w:val="22"/>
          <w:szCs w:val="22"/>
        </w:rPr>
        <w:t xml:space="preserve">patient’s rights </w:t>
      </w:r>
      <w:r>
        <w:rPr>
          <w:sz w:val="22"/>
          <w:szCs w:val="22"/>
        </w:rPr>
        <w:t>are complied with.</w:t>
      </w:r>
    </w:p>
    <w:p w14:paraId="26FB05E6" w14:textId="4E54C5CC" w:rsidR="00214C45" w:rsidRDefault="00214C45" w:rsidP="00214C45">
      <w:pPr>
        <w:pStyle w:val="HHLBodyText"/>
        <w:rPr>
          <w:sz w:val="22"/>
          <w:szCs w:val="22"/>
        </w:rPr>
      </w:pPr>
      <w:r>
        <w:rPr>
          <w:sz w:val="22"/>
          <w:szCs w:val="22"/>
        </w:rPr>
        <w:t xml:space="preserve">Compliance with legislative requirements includes meeting Building Code requirements </w:t>
      </w:r>
      <w:r w:rsidR="00856407">
        <w:rPr>
          <w:sz w:val="22"/>
          <w:szCs w:val="22"/>
        </w:rPr>
        <w:t>and the</w:t>
      </w:r>
      <w:r>
        <w:rPr>
          <w:sz w:val="22"/>
          <w:szCs w:val="22"/>
        </w:rPr>
        <w:t xml:space="preserve"> Fire and Emergency NZ (Fire Safety Evacuation Procedures and Evacuations Schemes) Regulations 2018.</w:t>
      </w:r>
    </w:p>
    <w:p w14:paraId="071E1E20" w14:textId="77777777" w:rsidR="00214C45" w:rsidRPr="00556A19" w:rsidRDefault="00214C45" w:rsidP="00214C45">
      <w:pPr>
        <w:pStyle w:val="HHLBodyText"/>
        <w:rPr>
          <w:sz w:val="22"/>
          <w:szCs w:val="22"/>
        </w:rPr>
      </w:pPr>
      <w:r>
        <w:rPr>
          <w:sz w:val="22"/>
          <w:szCs w:val="22"/>
        </w:rPr>
        <w:t>Practices are particularly encouraged to ensure they are compliant with Building Code access requirements and have, as far as is practical, provided mobility parks and accessible toilets.</w:t>
      </w:r>
    </w:p>
    <w:bookmarkEnd w:id="34"/>
    <w:p w14:paraId="384F9F37" w14:textId="1AD6499D" w:rsidR="00356116" w:rsidRPr="00061C92" w:rsidRDefault="00356116" w:rsidP="00356116">
      <w:pPr>
        <w:spacing w:before="240" w:after="120"/>
        <w:rPr>
          <w:rFonts w:cs="Arial"/>
          <w:b/>
          <w:color w:val="auto"/>
          <w:sz w:val="22"/>
          <w:szCs w:val="22"/>
        </w:rPr>
      </w:pPr>
      <w:r w:rsidRPr="00356116">
        <w:rPr>
          <w:b/>
          <w:color w:val="auto"/>
          <w:sz w:val="22"/>
          <w:szCs w:val="22"/>
        </w:rPr>
        <w:t>Resources</w:t>
      </w:r>
    </w:p>
    <w:bookmarkEnd w:id="32"/>
    <w:p w14:paraId="6DECAF3C" w14:textId="21D71F5E" w:rsidR="00D02796" w:rsidRPr="0024030C" w:rsidRDefault="00D02796" w:rsidP="0024030C">
      <w:pPr>
        <w:pStyle w:val="Resourcelist"/>
        <w:spacing w:after="120"/>
        <w:rPr>
          <w:rStyle w:val="Hyperlink"/>
          <w:color w:val="0000FF"/>
        </w:rPr>
      </w:pPr>
      <w:r w:rsidRPr="0024030C">
        <w:rPr>
          <w:rStyle w:val="Hyperlink"/>
          <w:color w:val="0000FF"/>
        </w:rPr>
        <w:fldChar w:fldCharType="begin"/>
      </w:r>
      <w:r w:rsidRPr="0024030C">
        <w:rPr>
          <w:rStyle w:val="Hyperlink"/>
          <w:color w:val="0000FF"/>
        </w:rPr>
        <w:instrText xml:space="preserve"> HYPERLINK "https://www.building.govt.nz/" </w:instrText>
      </w:r>
      <w:r w:rsidRPr="0024030C">
        <w:rPr>
          <w:rStyle w:val="Hyperlink"/>
          <w:color w:val="0000FF"/>
        </w:rPr>
        <w:fldChar w:fldCharType="separate"/>
      </w:r>
      <w:r w:rsidRPr="0024030C">
        <w:rPr>
          <w:rStyle w:val="Hyperlink"/>
          <w:rFonts w:ascii="Arial" w:hAnsi="Arial" w:cs="Arial"/>
          <w:color w:val="0000FF"/>
        </w:rPr>
        <w:t>Ministry of Business, Innovation and Employment</w:t>
      </w:r>
      <w:r w:rsidR="003C251D" w:rsidRPr="0024030C">
        <w:rPr>
          <w:rStyle w:val="Hyperlink"/>
          <w:rFonts w:ascii="Arial" w:hAnsi="Arial" w:cs="Arial"/>
          <w:color w:val="0000FF"/>
        </w:rPr>
        <w:t>:</w:t>
      </w:r>
      <w:r w:rsidRPr="0024030C">
        <w:rPr>
          <w:rStyle w:val="Hyperlink"/>
          <w:rFonts w:ascii="Arial" w:hAnsi="Arial" w:cs="Arial"/>
          <w:color w:val="0000FF"/>
        </w:rPr>
        <w:t xml:space="preserve"> Building Code </w:t>
      </w:r>
      <w:r w:rsidR="00C80464" w:rsidRPr="0024030C">
        <w:rPr>
          <w:rStyle w:val="Hyperlink"/>
          <w:rFonts w:ascii="Arial" w:hAnsi="Arial" w:cs="Arial"/>
          <w:color w:val="0000FF"/>
        </w:rPr>
        <w:t>compliance</w:t>
      </w:r>
      <w:r w:rsidRPr="0024030C">
        <w:rPr>
          <w:rStyle w:val="Hyperlink"/>
          <w:color w:val="0000FF"/>
        </w:rPr>
        <w:fldChar w:fldCharType="end"/>
      </w:r>
    </w:p>
    <w:p w14:paraId="7829930C" w14:textId="7673FA45" w:rsidR="00CE00A2" w:rsidRPr="0024030C" w:rsidRDefault="00CF1416" w:rsidP="0024030C">
      <w:pPr>
        <w:pStyle w:val="Resourcelist"/>
        <w:spacing w:after="120"/>
        <w:rPr>
          <w:rStyle w:val="Hyperlink"/>
          <w:rFonts w:ascii="Arial" w:hAnsi="Arial" w:cs="Arial"/>
          <w:color w:val="0000FF"/>
        </w:rPr>
      </w:pPr>
      <w:hyperlink r:id="rId42" w:history="1">
        <w:r w:rsidR="00CE00A2" w:rsidRPr="0024030C">
          <w:rPr>
            <w:rStyle w:val="Hyperlink"/>
            <w:rFonts w:ascii="Arial" w:hAnsi="Arial" w:cs="Arial"/>
            <w:color w:val="0000FF"/>
          </w:rPr>
          <w:t>Ministry of Business, Innovation and Employment</w:t>
        </w:r>
        <w:r w:rsidR="003C251D" w:rsidRPr="0024030C">
          <w:rPr>
            <w:rStyle w:val="Hyperlink"/>
            <w:rFonts w:ascii="Arial" w:hAnsi="Arial" w:cs="Arial"/>
            <w:color w:val="0000FF"/>
          </w:rPr>
          <w:t>:</w:t>
        </w:r>
        <w:r w:rsidR="00CE00A2" w:rsidRPr="0024030C">
          <w:rPr>
            <w:rStyle w:val="Hyperlink"/>
            <w:rFonts w:ascii="Arial" w:hAnsi="Arial" w:cs="Arial"/>
            <w:color w:val="0000FF"/>
          </w:rPr>
          <w:t xml:space="preserve"> Building Code access </w:t>
        </w:r>
        <w:r w:rsidR="00C80464" w:rsidRPr="0024030C">
          <w:rPr>
            <w:rStyle w:val="Hyperlink"/>
            <w:rFonts w:ascii="Arial" w:hAnsi="Arial" w:cs="Arial"/>
            <w:color w:val="0000FF"/>
          </w:rPr>
          <w:t>guidance</w:t>
        </w:r>
      </w:hyperlink>
    </w:p>
    <w:p w14:paraId="3416F353" w14:textId="111FC22D" w:rsidR="00CE00A2" w:rsidRPr="0024030C" w:rsidRDefault="00CF1416" w:rsidP="0024030C">
      <w:pPr>
        <w:pStyle w:val="Resourcelist"/>
        <w:spacing w:after="120"/>
        <w:rPr>
          <w:rStyle w:val="Hyperlink"/>
          <w:rFonts w:ascii="Arial" w:hAnsi="Arial" w:cs="Arial"/>
          <w:color w:val="0000FF"/>
        </w:rPr>
      </w:pPr>
      <w:hyperlink r:id="rId43" w:history="1">
        <w:r w:rsidR="00CE00A2" w:rsidRPr="0024030C">
          <w:rPr>
            <w:rStyle w:val="Hyperlink"/>
            <w:rFonts w:ascii="Arial" w:hAnsi="Arial" w:cs="Arial"/>
            <w:color w:val="0000FF"/>
          </w:rPr>
          <w:t>Ministry of Business, Innovation and Employment</w:t>
        </w:r>
        <w:r w:rsidR="003C251D" w:rsidRPr="0024030C">
          <w:rPr>
            <w:rStyle w:val="Hyperlink"/>
            <w:rFonts w:ascii="Arial" w:hAnsi="Arial" w:cs="Arial"/>
            <w:color w:val="0000FF"/>
          </w:rPr>
          <w:t>:</w:t>
        </w:r>
        <w:r w:rsidR="00CE00A2" w:rsidRPr="0024030C">
          <w:rPr>
            <w:rStyle w:val="Hyperlink"/>
            <w:rFonts w:ascii="Arial" w:hAnsi="Arial" w:cs="Arial"/>
            <w:color w:val="0000FF"/>
          </w:rPr>
          <w:t xml:space="preserve"> Building Code compliance schedule handbook</w:t>
        </w:r>
      </w:hyperlink>
    </w:p>
    <w:p w14:paraId="4FC42168" w14:textId="5E72D4A1" w:rsidR="00D02796" w:rsidRPr="0024030C" w:rsidRDefault="00CF1416" w:rsidP="0024030C">
      <w:pPr>
        <w:pStyle w:val="Resourcelist"/>
        <w:spacing w:after="120"/>
        <w:rPr>
          <w:rStyle w:val="Hyperlink"/>
          <w:rFonts w:ascii="Arial" w:hAnsi="Arial" w:cs="Arial"/>
          <w:color w:val="0000FF"/>
        </w:rPr>
      </w:pPr>
      <w:hyperlink r:id="rId44" w:history="1">
        <w:r w:rsidR="00CE00A2" w:rsidRPr="0024030C">
          <w:rPr>
            <w:rStyle w:val="Hyperlink"/>
            <w:rFonts w:ascii="Arial" w:hAnsi="Arial" w:cs="Arial"/>
            <w:color w:val="0000FF"/>
          </w:rPr>
          <w:t>Standards New Zealand, Design for Access Mobility – Buildings and Associated Facilities.</w:t>
        </w:r>
      </w:hyperlink>
    </w:p>
    <w:p w14:paraId="1D2C1EC2" w14:textId="75D52805" w:rsidR="00381429" w:rsidRPr="0024030C" w:rsidRDefault="00CF1416" w:rsidP="0024030C">
      <w:pPr>
        <w:pStyle w:val="Resourcelist"/>
        <w:spacing w:after="120"/>
        <w:rPr>
          <w:rStyle w:val="Hyperlink"/>
          <w:rFonts w:ascii="Arial" w:hAnsi="Arial" w:cs="Arial"/>
          <w:color w:val="0000FF"/>
        </w:rPr>
      </w:pPr>
      <w:hyperlink r:id="rId45" w:history="1">
        <w:r w:rsidR="00381429" w:rsidRPr="0024030C">
          <w:rPr>
            <w:rStyle w:val="Hyperlink"/>
            <w:rFonts w:ascii="Arial" w:hAnsi="Arial" w:cs="Arial"/>
            <w:color w:val="0000FF"/>
          </w:rPr>
          <w:t>Fire and Emergency New Zealand</w:t>
        </w:r>
        <w:r w:rsidR="009C2382" w:rsidRPr="0024030C">
          <w:rPr>
            <w:rStyle w:val="Hyperlink"/>
            <w:rFonts w:ascii="Arial" w:hAnsi="Arial" w:cs="Arial"/>
            <w:color w:val="0000FF"/>
          </w:rPr>
          <w:t>,</w:t>
        </w:r>
        <w:r w:rsidR="00381429" w:rsidRPr="0024030C">
          <w:rPr>
            <w:rStyle w:val="Hyperlink"/>
            <w:rFonts w:ascii="Arial" w:hAnsi="Arial" w:cs="Arial"/>
            <w:color w:val="0000FF"/>
          </w:rPr>
          <w:t xml:space="preserve"> evacuation scheme guidance</w:t>
        </w:r>
      </w:hyperlink>
    </w:p>
    <w:p w14:paraId="33C7211F" w14:textId="77777777" w:rsidR="00B61E81" w:rsidRPr="0024030C" w:rsidRDefault="00CF1416" w:rsidP="0024030C">
      <w:pPr>
        <w:pStyle w:val="Resourcelist"/>
        <w:spacing w:after="120"/>
        <w:rPr>
          <w:rStyle w:val="Hyperlink"/>
          <w:rFonts w:ascii="Arial" w:hAnsi="Arial" w:cs="Arial"/>
          <w:color w:val="0000FF"/>
        </w:rPr>
      </w:pPr>
      <w:hyperlink r:id="rId46" w:history="1">
        <w:r w:rsidR="00B61E81" w:rsidRPr="0024030C">
          <w:rPr>
            <w:rStyle w:val="Hyperlink"/>
            <w:rFonts w:ascii="Arial" w:hAnsi="Arial" w:cs="Arial"/>
            <w:color w:val="0000FF"/>
          </w:rPr>
          <w:t>Fire and Emergency New Zealand (Fire Safety, Evacuation Procedures, and Evacuation Schemes) Regulations 2018</w:t>
        </w:r>
      </w:hyperlink>
    </w:p>
    <w:p w14:paraId="0D6D439A" w14:textId="77777777" w:rsidR="00B61E81" w:rsidRPr="00507FCC" w:rsidRDefault="00B61E81" w:rsidP="00B61E81">
      <w:pPr>
        <w:pStyle w:val="Resourcelist"/>
        <w:spacing w:after="60"/>
        <w:ind w:left="288"/>
        <w:rPr>
          <w:rStyle w:val="Hyperlink"/>
          <w:color w:val="0000FF"/>
          <w:u w:val="none"/>
        </w:rPr>
      </w:pPr>
    </w:p>
    <w:p w14:paraId="2732769A" w14:textId="77777777" w:rsidR="006270A3" w:rsidRPr="00DD24D5" w:rsidRDefault="006270A3" w:rsidP="006270A3"/>
    <w:p w14:paraId="338DABBF" w14:textId="1B0068B3" w:rsidR="00E91CF7" w:rsidRDefault="00E91CF7" w:rsidP="007C22A4">
      <w:pPr>
        <w:jc w:val="center"/>
        <w:rPr>
          <w:b/>
          <w:color w:val="EE7624"/>
          <w:sz w:val="56"/>
          <w:szCs w:val="56"/>
        </w:rPr>
      </w:pPr>
    </w:p>
    <w:p w14:paraId="4C7689A7" w14:textId="77777777" w:rsidR="00735AE4" w:rsidRDefault="00735AE4" w:rsidP="00AA51CD">
      <w:pPr>
        <w:pStyle w:val="Heading1"/>
      </w:pPr>
      <w:bookmarkStart w:id="35" w:name="_Hlk4403723"/>
    </w:p>
    <w:p w14:paraId="5D7B39D1" w14:textId="77777777" w:rsidR="00735AE4" w:rsidRDefault="00735AE4" w:rsidP="00AA51CD">
      <w:pPr>
        <w:pStyle w:val="Heading1"/>
      </w:pPr>
    </w:p>
    <w:p w14:paraId="6E894F94" w14:textId="77777777" w:rsidR="00735AE4" w:rsidRDefault="00735AE4" w:rsidP="00AA51CD">
      <w:pPr>
        <w:pStyle w:val="Heading1"/>
      </w:pPr>
    </w:p>
    <w:p w14:paraId="494AE188" w14:textId="77777777" w:rsidR="00735AE4" w:rsidRDefault="00735AE4" w:rsidP="00AA51CD">
      <w:pPr>
        <w:pStyle w:val="Heading1"/>
      </w:pPr>
    </w:p>
    <w:p w14:paraId="173A016A" w14:textId="77777777" w:rsidR="00735AE4" w:rsidRDefault="00735AE4" w:rsidP="00AA51CD">
      <w:pPr>
        <w:pStyle w:val="Heading1"/>
      </w:pPr>
    </w:p>
    <w:p w14:paraId="04E5B217" w14:textId="77777777" w:rsidR="00735AE4" w:rsidRDefault="00735AE4" w:rsidP="00AA51CD">
      <w:pPr>
        <w:pStyle w:val="Heading1"/>
      </w:pPr>
    </w:p>
    <w:p w14:paraId="0D68314A" w14:textId="77777777" w:rsidR="00735AE4" w:rsidRDefault="00735AE4" w:rsidP="00AA51CD">
      <w:pPr>
        <w:pStyle w:val="Heading1"/>
      </w:pPr>
    </w:p>
    <w:p w14:paraId="00260E86" w14:textId="77777777" w:rsidR="00735AE4" w:rsidRDefault="00735AE4" w:rsidP="00AA51CD">
      <w:pPr>
        <w:pStyle w:val="Heading1"/>
      </w:pPr>
    </w:p>
    <w:p w14:paraId="7C8EEE71" w14:textId="77777777" w:rsidR="00735AE4" w:rsidRDefault="00735AE4" w:rsidP="00AA51CD">
      <w:pPr>
        <w:pStyle w:val="Heading1"/>
      </w:pPr>
    </w:p>
    <w:p w14:paraId="49E685CB" w14:textId="77777777" w:rsidR="00735AE4" w:rsidRDefault="00735AE4" w:rsidP="00AA51CD">
      <w:pPr>
        <w:pStyle w:val="Heading1"/>
      </w:pPr>
    </w:p>
    <w:p w14:paraId="55743F3E" w14:textId="77777777" w:rsidR="00735AE4" w:rsidRDefault="00735AE4" w:rsidP="00AA51CD">
      <w:pPr>
        <w:pStyle w:val="Heading1"/>
      </w:pPr>
    </w:p>
    <w:p w14:paraId="1E6B2EE4" w14:textId="2BA78A60" w:rsidR="007C22A4" w:rsidRDefault="00E91CF7" w:rsidP="00AA51CD">
      <w:pPr>
        <w:pStyle w:val="Heading1"/>
        <w:rPr>
          <w:b w:val="0"/>
        </w:rPr>
      </w:pPr>
      <w:bookmarkStart w:id="36" w:name="_Toc6998661"/>
      <w:r w:rsidRPr="000C6773">
        <w:t>Section</w:t>
      </w:r>
      <w:r w:rsidRPr="0055408F">
        <w:t xml:space="preserve"> </w:t>
      </w:r>
      <w:r w:rsidR="003144EF">
        <w:t>3</w:t>
      </w:r>
      <w:r w:rsidR="00AA51CD">
        <w:t xml:space="preserve">: </w:t>
      </w:r>
      <w:r w:rsidR="00E35F68">
        <w:rPr>
          <w:b w:val="0"/>
        </w:rPr>
        <w:t>Wheako whaiaro</w:t>
      </w:r>
      <w:r w:rsidR="007C22A4" w:rsidRPr="0055408F">
        <w:rPr>
          <w:b w:val="0"/>
        </w:rPr>
        <w:t xml:space="preserve"> | P</w:t>
      </w:r>
      <w:r w:rsidR="00E35F68">
        <w:rPr>
          <w:b w:val="0"/>
        </w:rPr>
        <w:t>atient experience</w:t>
      </w:r>
      <w:bookmarkEnd w:id="36"/>
    </w:p>
    <w:bookmarkEnd w:id="35"/>
    <w:p w14:paraId="631EC170" w14:textId="60EED902" w:rsidR="00DA570F" w:rsidRDefault="00DA570F" w:rsidP="00DA570F">
      <w:pPr>
        <w:jc w:val="center"/>
        <w:rPr>
          <w:b/>
          <w:color w:val="EE7624"/>
          <w:sz w:val="56"/>
          <w:szCs w:val="56"/>
        </w:rPr>
      </w:pPr>
    </w:p>
    <w:p w14:paraId="46081A23" w14:textId="77777777" w:rsidR="00DA570F" w:rsidRDefault="00DA570F">
      <w:pPr>
        <w:spacing w:after="0"/>
        <w:rPr>
          <w:b/>
          <w:color w:val="EE7624"/>
          <w:sz w:val="56"/>
          <w:szCs w:val="56"/>
        </w:rPr>
      </w:pPr>
      <w:r>
        <w:rPr>
          <w:b/>
          <w:color w:val="EE7624"/>
          <w:sz w:val="56"/>
          <w:szCs w:val="56"/>
        </w:rPr>
        <w:br w:type="page"/>
      </w:r>
    </w:p>
    <w:p w14:paraId="62001479" w14:textId="421E376E" w:rsidR="00760F5F" w:rsidRDefault="00AA51CD" w:rsidP="006D11A9">
      <w:pPr>
        <w:pStyle w:val="HHLSubHeading"/>
        <w:numPr>
          <w:ilvl w:val="0"/>
          <w:numId w:val="0"/>
        </w:numPr>
        <w:tabs>
          <w:tab w:val="left" w:pos="1560"/>
        </w:tabs>
      </w:pPr>
      <w:bookmarkStart w:id="37" w:name="_Toc6998662"/>
      <w:r w:rsidRPr="00902640">
        <w:lastRenderedPageBreak/>
        <w:t xml:space="preserve">Indicator </w:t>
      </w:r>
      <w:r>
        <w:t>7</w:t>
      </w:r>
      <w:r w:rsidRPr="00902640">
        <w:t>.</w:t>
      </w:r>
      <w:r>
        <w:t xml:space="preserve"> </w:t>
      </w:r>
      <w:r w:rsidR="006D11A9">
        <w:tab/>
      </w:r>
      <w:r w:rsidR="00760F5F">
        <w:t xml:space="preserve">Patient </w:t>
      </w:r>
      <w:r w:rsidR="002D3694">
        <w:t>experiences</w:t>
      </w:r>
      <w:bookmarkEnd w:id="37"/>
    </w:p>
    <w:p w14:paraId="26902850" w14:textId="60381164" w:rsidR="00AA51CD" w:rsidRPr="00760F5F" w:rsidRDefault="00FF7CB0" w:rsidP="00760F5F">
      <w:pPr>
        <w:pStyle w:val="HHLBodyText"/>
        <w:rPr>
          <w:b/>
        </w:rPr>
      </w:pPr>
      <w:r w:rsidRPr="00760F5F">
        <w:rPr>
          <w:b/>
        </w:rPr>
        <w:t>Our practice uses patients’ experiences information to improve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40"/>
        <w:gridCol w:w="4051"/>
      </w:tblGrid>
      <w:tr w:rsidR="00AA51CD" w:rsidRPr="002E71B3" w14:paraId="699692DD" w14:textId="77777777" w:rsidTr="00831A94">
        <w:tc>
          <w:tcPr>
            <w:tcW w:w="1153" w:type="dxa"/>
            <w:shd w:val="clear" w:color="auto" w:fill="FBD4B4" w:themeFill="accent6" w:themeFillTint="66"/>
          </w:tcPr>
          <w:p w14:paraId="03673D30" w14:textId="77777777" w:rsidR="00AA51CD" w:rsidRPr="002E71B3" w:rsidRDefault="00AA51CD" w:rsidP="004524BF">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2AA30FCA" w14:textId="77777777" w:rsidR="00AA51CD" w:rsidRPr="002E71B3" w:rsidRDefault="00AA51CD" w:rsidP="004524BF">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4CA17872" w14:textId="1E1CE452" w:rsidR="00AA51CD" w:rsidRPr="002E71B3" w:rsidRDefault="00AA51CD" w:rsidP="004524BF">
            <w:pPr>
              <w:spacing w:before="120" w:after="120"/>
              <w:rPr>
                <w:b/>
                <w:color w:val="auto"/>
                <w:sz w:val="22"/>
                <w:szCs w:val="22"/>
              </w:rPr>
            </w:pPr>
            <w:r w:rsidRPr="002E71B3">
              <w:rPr>
                <w:b/>
                <w:color w:val="auto"/>
                <w:sz w:val="22"/>
                <w:szCs w:val="22"/>
              </w:rPr>
              <w:t>Required evidence</w:t>
            </w:r>
          </w:p>
        </w:tc>
      </w:tr>
      <w:tr w:rsidR="00214C45" w:rsidRPr="002E71B3" w14:paraId="08A647F6" w14:textId="77777777" w:rsidTr="00831A94">
        <w:tc>
          <w:tcPr>
            <w:tcW w:w="1153" w:type="dxa"/>
          </w:tcPr>
          <w:p w14:paraId="508D263D" w14:textId="1EB01CBE" w:rsidR="00214C45" w:rsidRDefault="00214C45" w:rsidP="00214C45">
            <w:pPr>
              <w:spacing w:before="60"/>
              <w:rPr>
                <w:color w:val="auto"/>
                <w:sz w:val="22"/>
                <w:szCs w:val="22"/>
              </w:rPr>
            </w:pPr>
            <w:r>
              <w:rPr>
                <w:color w:val="auto"/>
                <w:sz w:val="22"/>
                <w:szCs w:val="22"/>
              </w:rPr>
              <w:t>7.1</w:t>
            </w:r>
          </w:p>
        </w:tc>
        <w:tc>
          <w:tcPr>
            <w:tcW w:w="4568" w:type="dxa"/>
          </w:tcPr>
          <w:p w14:paraId="5200D8F6" w14:textId="7E0A3F12" w:rsidR="00214C45" w:rsidRPr="00CC4CE1" w:rsidRDefault="00214C45" w:rsidP="00214C45">
            <w:pPr>
              <w:spacing w:before="60"/>
              <w:rPr>
                <w:color w:val="auto"/>
                <w:sz w:val="22"/>
                <w:szCs w:val="22"/>
              </w:rPr>
            </w:pPr>
            <w:r>
              <w:rPr>
                <w:color w:val="auto"/>
                <w:sz w:val="22"/>
                <w:szCs w:val="22"/>
              </w:rPr>
              <w:t xml:space="preserve">Participate in the Health Quality and Safety Commission’s </w:t>
            </w:r>
            <w:r w:rsidR="00B277AD">
              <w:rPr>
                <w:color w:val="auto"/>
                <w:sz w:val="22"/>
                <w:szCs w:val="22"/>
              </w:rPr>
              <w:t xml:space="preserve">(HQSC) </w:t>
            </w:r>
            <w:r>
              <w:rPr>
                <w:color w:val="auto"/>
                <w:sz w:val="22"/>
                <w:szCs w:val="22"/>
              </w:rPr>
              <w:t>Primary Care Patient Experience Survey</w:t>
            </w:r>
            <w:r w:rsidR="00B277AD">
              <w:rPr>
                <w:color w:val="auto"/>
                <w:sz w:val="22"/>
                <w:szCs w:val="22"/>
              </w:rPr>
              <w:t xml:space="preserve"> (PES)</w:t>
            </w:r>
            <w:r>
              <w:rPr>
                <w:color w:val="auto"/>
                <w:sz w:val="22"/>
                <w:szCs w:val="22"/>
              </w:rPr>
              <w:t xml:space="preserve"> to understand patients </w:t>
            </w:r>
            <w:r w:rsidRPr="00155E06">
              <w:rPr>
                <w:color w:val="auto"/>
                <w:sz w:val="22"/>
                <w:szCs w:val="22"/>
              </w:rPr>
              <w:t>experience of care</w:t>
            </w:r>
            <w:r>
              <w:rPr>
                <w:color w:val="auto"/>
                <w:sz w:val="22"/>
                <w:szCs w:val="22"/>
              </w:rPr>
              <w:t>.</w:t>
            </w:r>
          </w:p>
        </w:tc>
        <w:tc>
          <w:tcPr>
            <w:tcW w:w="4075" w:type="dxa"/>
            <w:vAlign w:val="center"/>
          </w:tcPr>
          <w:p w14:paraId="4D32ACAA" w14:textId="1158CA8E" w:rsidR="00214C45" w:rsidRDefault="00214C45" w:rsidP="00214C45">
            <w:pPr>
              <w:spacing w:before="60"/>
              <w:rPr>
                <w:color w:val="auto"/>
                <w:sz w:val="22"/>
                <w:szCs w:val="22"/>
              </w:rPr>
            </w:pPr>
            <w:r>
              <w:rPr>
                <w:color w:val="auto"/>
                <w:sz w:val="22"/>
                <w:szCs w:val="22"/>
              </w:rPr>
              <w:t>Survey results</w:t>
            </w:r>
            <w:r w:rsidR="00881C98">
              <w:rPr>
                <w:color w:val="auto"/>
                <w:sz w:val="22"/>
                <w:szCs w:val="22"/>
              </w:rPr>
              <w:t>.</w:t>
            </w:r>
            <w:r>
              <w:rPr>
                <w:color w:val="auto"/>
                <w:sz w:val="22"/>
                <w:szCs w:val="22"/>
              </w:rPr>
              <w:t xml:space="preserve"> </w:t>
            </w:r>
          </w:p>
          <w:p w14:paraId="2C16D046" w14:textId="77777777" w:rsidR="00214C45" w:rsidRDefault="00214C45" w:rsidP="00214C45">
            <w:pPr>
              <w:spacing w:before="60"/>
              <w:rPr>
                <w:color w:val="auto"/>
                <w:sz w:val="22"/>
                <w:szCs w:val="22"/>
              </w:rPr>
            </w:pPr>
          </w:p>
          <w:p w14:paraId="0590374D" w14:textId="24A68C54" w:rsidR="00214C45" w:rsidRDefault="00214C45" w:rsidP="00214C45">
            <w:pPr>
              <w:spacing w:before="60"/>
              <w:rPr>
                <w:color w:val="auto"/>
                <w:sz w:val="22"/>
                <w:szCs w:val="22"/>
              </w:rPr>
            </w:pPr>
          </w:p>
        </w:tc>
      </w:tr>
      <w:tr w:rsidR="00214C45" w:rsidRPr="002E71B3" w14:paraId="7CACCEF7" w14:textId="77777777" w:rsidTr="00831A94">
        <w:tc>
          <w:tcPr>
            <w:tcW w:w="1153" w:type="dxa"/>
          </w:tcPr>
          <w:p w14:paraId="6E236AAD" w14:textId="2F0A9F7C" w:rsidR="00214C45" w:rsidRPr="002E71B3" w:rsidRDefault="00214C45" w:rsidP="00214C45">
            <w:pPr>
              <w:spacing w:before="60"/>
              <w:rPr>
                <w:color w:val="auto"/>
                <w:sz w:val="22"/>
                <w:szCs w:val="22"/>
              </w:rPr>
            </w:pPr>
            <w:r>
              <w:rPr>
                <w:color w:val="auto"/>
                <w:sz w:val="22"/>
                <w:szCs w:val="22"/>
              </w:rPr>
              <w:t>7</w:t>
            </w:r>
            <w:r w:rsidRPr="002E71B3">
              <w:rPr>
                <w:color w:val="auto"/>
                <w:sz w:val="22"/>
                <w:szCs w:val="22"/>
              </w:rPr>
              <w:t>.</w:t>
            </w:r>
            <w:r>
              <w:rPr>
                <w:color w:val="auto"/>
                <w:sz w:val="22"/>
                <w:szCs w:val="22"/>
              </w:rPr>
              <w:t>2</w:t>
            </w:r>
          </w:p>
        </w:tc>
        <w:tc>
          <w:tcPr>
            <w:tcW w:w="4568" w:type="dxa"/>
          </w:tcPr>
          <w:p w14:paraId="5FC06588" w14:textId="12B3A8CF" w:rsidR="00214C45" w:rsidRPr="002E71B3" w:rsidRDefault="00214C45" w:rsidP="00214C45">
            <w:pPr>
              <w:spacing w:before="60"/>
              <w:rPr>
                <w:color w:val="auto"/>
                <w:sz w:val="22"/>
                <w:szCs w:val="22"/>
              </w:rPr>
            </w:pPr>
            <w:r w:rsidRPr="00155E06">
              <w:rPr>
                <w:color w:val="auto"/>
                <w:sz w:val="22"/>
                <w:szCs w:val="22"/>
              </w:rPr>
              <w:t>Analy</w:t>
            </w:r>
            <w:r>
              <w:rPr>
                <w:color w:val="auto"/>
                <w:sz w:val="22"/>
                <w:szCs w:val="22"/>
              </w:rPr>
              <w:t>s</w:t>
            </w:r>
            <w:r w:rsidRPr="00155E06">
              <w:rPr>
                <w:color w:val="auto"/>
                <w:sz w:val="22"/>
                <w:szCs w:val="22"/>
              </w:rPr>
              <w:t xml:space="preserve">e survey </w:t>
            </w:r>
            <w:r w:rsidR="00881C98">
              <w:rPr>
                <w:color w:val="auto"/>
                <w:sz w:val="22"/>
                <w:szCs w:val="22"/>
              </w:rPr>
              <w:t>data</w:t>
            </w:r>
            <w:r w:rsidRPr="00155E06">
              <w:rPr>
                <w:color w:val="auto"/>
                <w:sz w:val="22"/>
                <w:szCs w:val="22"/>
              </w:rPr>
              <w:t xml:space="preserve"> and other patient feedback </w:t>
            </w:r>
            <w:r w:rsidR="00881C98">
              <w:rPr>
                <w:color w:val="auto"/>
                <w:sz w:val="22"/>
                <w:szCs w:val="22"/>
              </w:rPr>
              <w:t>to identify service</w:t>
            </w:r>
            <w:r w:rsidRPr="00155E06">
              <w:rPr>
                <w:color w:val="auto"/>
                <w:sz w:val="22"/>
                <w:szCs w:val="22"/>
              </w:rPr>
              <w:t xml:space="preserve"> improvement</w:t>
            </w:r>
            <w:r w:rsidR="00881C98">
              <w:rPr>
                <w:color w:val="auto"/>
                <w:sz w:val="22"/>
                <w:szCs w:val="22"/>
              </w:rPr>
              <w:t xml:space="preserve"> </w:t>
            </w:r>
            <w:r w:rsidR="00ED3B10">
              <w:rPr>
                <w:color w:val="auto"/>
                <w:sz w:val="22"/>
                <w:szCs w:val="22"/>
              </w:rPr>
              <w:t>opportunities</w:t>
            </w:r>
            <w:r w:rsidR="00881C98">
              <w:rPr>
                <w:color w:val="auto"/>
                <w:sz w:val="22"/>
                <w:szCs w:val="22"/>
              </w:rPr>
              <w:t xml:space="preserve"> </w:t>
            </w:r>
            <w:r w:rsidR="00B277AD">
              <w:rPr>
                <w:color w:val="auto"/>
                <w:sz w:val="22"/>
                <w:szCs w:val="22"/>
              </w:rPr>
              <w:t xml:space="preserve">to </w:t>
            </w:r>
            <w:r>
              <w:rPr>
                <w:color w:val="auto"/>
                <w:sz w:val="22"/>
                <w:szCs w:val="22"/>
              </w:rPr>
              <w:t xml:space="preserve">develop and implement an </w:t>
            </w:r>
            <w:r w:rsidR="0018168F">
              <w:rPr>
                <w:color w:val="auto"/>
                <w:sz w:val="22"/>
                <w:szCs w:val="22"/>
              </w:rPr>
              <w:t>improvement plan.</w:t>
            </w:r>
          </w:p>
        </w:tc>
        <w:tc>
          <w:tcPr>
            <w:tcW w:w="4075" w:type="dxa"/>
          </w:tcPr>
          <w:p w14:paraId="71F85F2C" w14:textId="29777E09" w:rsidR="00B277AD" w:rsidRDefault="00881C98" w:rsidP="00214C45">
            <w:pPr>
              <w:spacing w:before="60"/>
              <w:rPr>
                <w:color w:val="auto"/>
                <w:sz w:val="22"/>
                <w:szCs w:val="22"/>
              </w:rPr>
            </w:pPr>
            <w:r>
              <w:rPr>
                <w:color w:val="auto"/>
                <w:sz w:val="22"/>
                <w:szCs w:val="22"/>
              </w:rPr>
              <w:t>Analysis of results and r</w:t>
            </w:r>
            <w:r w:rsidR="0018168F" w:rsidRPr="0018168F">
              <w:rPr>
                <w:color w:val="auto"/>
                <w:sz w:val="22"/>
                <w:szCs w:val="22"/>
              </w:rPr>
              <w:t xml:space="preserve">ecord of discussions with </w:t>
            </w:r>
            <w:r w:rsidR="00B277AD">
              <w:rPr>
                <w:color w:val="auto"/>
                <w:sz w:val="22"/>
                <w:szCs w:val="22"/>
              </w:rPr>
              <w:t xml:space="preserve">the </w:t>
            </w:r>
            <w:r w:rsidR="0018168F" w:rsidRPr="0018168F">
              <w:rPr>
                <w:color w:val="auto"/>
                <w:sz w:val="22"/>
                <w:szCs w:val="22"/>
              </w:rPr>
              <w:t xml:space="preserve">team on </w:t>
            </w:r>
            <w:r w:rsidR="00A331AC">
              <w:rPr>
                <w:color w:val="auto"/>
                <w:sz w:val="22"/>
                <w:szCs w:val="22"/>
              </w:rPr>
              <w:t xml:space="preserve">the </w:t>
            </w:r>
            <w:r w:rsidR="0018168F" w:rsidRPr="0018168F">
              <w:rPr>
                <w:color w:val="auto"/>
                <w:sz w:val="22"/>
                <w:szCs w:val="22"/>
              </w:rPr>
              <w:t>patient experience of care</w:t>
            </w:r>
            <w:r w:rsidR="0039701F">
              <w:rPr>
                <w:color w:val="auto"/>
                <w:sz w:val="22"/>
                <w:szCs w:val="22"/>
              </w:rPr>
              <w:t>.</w:t>
            </w:r>
          </w:p>
          <w:p w14:paraId="730407D1" w14:textId="0836FC3B" w:rsidR="00214C45" w:rsidRPr="002E71B3" w:rsidRDefault="00B277AD" w:rsidP="00214C45">
            <w:pPr>
              <w:spacing w:before="60"/>
              <w:rPr>
                <w:color w:val="auto"/>
                <w:sz w:val="22"/>
                <w:szCs w:val="22"/>
              </w:rPr>
            </w:pPr>
            <w:r>
              <w:rPr>
                <w:color w:val="auto"/>
                <w:sz w:val="22"/>
                <w:szCs w:val="22"/>
              </w:rPr>
              <w:t xml:space="preserve">A </w:t>
            </w:r>
            <w:r w:rsidR="0018168F" w:rsidRPr="0018168F">
              <w:rPr>
                <w:color w:val="auto"/>
                <w:sz w:val="22"/>
                <w:szCs w:val="22"/>
              </w:rPr>
              <w:t xml:space="preserve">documented </w:t>
            </w:r>
            <w:r w:rsidR="00777D17">
              <w:rPr>
                <w:color w:val="auto"/>
                <w:sz w:val="22"/>
                <w:szCs w:val="22"/>
              </w:rPr>
              <w:t>improvement</w:t>
            </w:r>
            <w:r w:rsidR="0018168F" w:rsidRPr="0018168F">
              <w:rPr>
                <w:color w:val="auto"/>
                <w:sz w:val="22"/>
                <w:szCs w:val="22"/>
              </w:rPr>
              <w:t xml:space="preserve"> plan and evidence the plan is being implemented</w:t>
            </w:r>
            <w:r>
              <w:rPr>
                <w:color w:val="auto"/>
                <w:sz w:val="22"/>
                <w:szCs w:val="22"/>
              </w:rPr>
              <w:t>.</w:t>
            </w:r>
          </w:p>
        </w:tc>
      </w:tr>
    </w:tbl>
    <w:p w14:paraId="59CD0E15" w14:textId="77777777" w:rsidR="00831A94" w:rsidRPr="005B2DE1" w:rsidRDefault="00831A94" w:rsidP="00831A94">
      <w:pPr>
        <w:pStyle w:val="HHLBodyText"/>
        <w:spacing w:before="240"/>
        <w:rPr>
          <w:b/>
          <w:sz w:val="22"/>
          <w:szCs w:val="22"/>
        </w:rPr>
      </w:pPr>
      <w:r w:rsidRPr="005B2DE1">
        <w:rPr>
          <w:b/>
          <w:sz w:val="22"/>
          <w:szCs w:val="22"/>
        </w:rPr>
        <w:t>Required training</w:t>
      </w:r>
    </w:p>
    <w:p w14:paraId="7DE41A82" w14:textId="2960C5CE" w:rsidR="005A264F" w:rsidRPr="00EF0A0E" w:rsidRDefault="00E872B0"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24A62047" w14:textId="5CBE646A" w:rsidR="00AA51CD" w:rsidRDefault="00AA51CD" w:rsidP="00AA51CD">
      <w:pPr>
        <w:pStyle w:val="HHLBodyText"/>
        <w:spacing w:before="240"/>
        <w:rPr>
          <w:b/>
          <w:sz w:val="22"/>
          <w:szCs w:val="22"/>
        </w:rPr>
      </w:pPr>
      <w:r w:rsidRPr="005B2DE1">
        <w:rPr>
          <w:b/>
          <w:sz w:val="22"/>
          <w:szCs w:val="22"/>
        </w:rPr>
        <w:t>Guidance notes</w:t>
      </w:r>
    </w:p>
    <w:p w14:paraId="63D21477" w14:textId="20C8A291" w:rsidR="002C1186" w:rsidRPr="00B37A4A" w:rsidRDefault="002C1186" w:rsidP="00530336">
      <w:pPr>
        <w:pStyle w:val="HHLBodyText"/>
        <w:rPr>
          <w:i/>
        </w:rPr>
      </w:pPr>
      <w:r w:rsidRPr="00B37A4A">
        <w:rPr>
          <w:i/>
        </w:rPr>
        <w:t>Primary care patient experience survey</w:t>
      </w:r>
    </w:p>
    <w:p w14:paraId="3AC226DB" w14:textId="7E96C905" w:rsidR="009E6A92" w:rsidRPr="00B61BAF" w:rsidRDefault="009E6A92" w:rsidP="009E6A92">
      <w:pPr>
        <w:spacing w:after="120"/>
        <w:rPr>
          <w:color w:val="auto"/>
          <w:sz w:val="22"/>
          <w:szCs w:val="22"/>
        </w:rPr>
      </w:pPr>
      <w:r w:rsidRPr="00B61BAF">
        <w:rPr>
          <w:color w:val="auto"/>
          <w:sz w:val="22"/>
          <w:szCs w:val="22"/>
        </w:rPr>
        <w:t>The primary care patient experience survey</w:t>
      </w:r>
      <w:r>
        <w:rPr>
          <w:color w:val="auto"/>
          <w:sz w:val="22"/>
          <w:szCs w:val="22"/>
        </w:rPr>
        <w:t xml:space="preserve"> (PES) is </w:t>
      </w:r>
      <w:r w:rsidRPr="00B61BAF">
        <w:rPr>
          <w:color w:val="auto"/>
          <w:sz w:val="22"/>
          <w:szCs w:val="22"/>
        </w:rPr>
        <w:t xml:space="preserve">to find out what patients’ experience in primary care is like and how their overall care is managed between their general practice, diagnostic services, specialists, and/or hospital staff. </w:t>
      </w:r>
    </w:p>
    <w:p w14:paraId="2035F3B6" w14:textId="77777777" w:rsidR="002C1186" w:rsidRPr="002C1186" w:rsidRDefault="002C1186" w:rsidP="00827607">
      <w:pPr>
        <w:pStyle w:val="HHLBodyText"/>
        <w:spacing w:before="240"/>
        <w:rPr>
          <w:i/>
        </w:rPr>
      </w:pPr>
      <w:r w:rsidRPr="002C1186">
        <w:rPr>
          <w:i/>
        </w:rPr>
        <w:t>Changes to services resulting from patient feedback</w:t>
      </w:r>
    </w:p>
    <w:p w14:paraId="159229E3" w14:textId="77777777" w:rsidR="00B3291D" w:rsidRPr="00B61BAF" w:rsidRDefault="00B3291D" w:rsidP="00B3291D">
      <w:pPr>
        <w:spacing w:after="120"/>
        <w:rPr>
          <w:color w:val="auto"/>
          <w:sz w:val="22"/>
          <w:szCs w:val="22"/>
        </w:rPr>
      </w:pPr>
      <w:r w:rsidRPr="00B61BAF">
        <w:rPr>
          <w:color w:val="auto"/>
          <w:sz w:val="22"/>
          <w:szCs w:val="22"/>
        </w:rPr>
        <w:t xml:space="preserve">Your practice should inform patients and the general practice team about changes to services resulting from patient feedback. </w:t>
      </w:r>
    </w:p>
    <w:p w14:paraId="235D9A65" w14:textId="77777777" w:rsidR="00B3291D" w:rsidRPr="00B61BAF" w:rsidRDefault="00B3291D" w:rsidP="00B3291D">
      <w:pPr>
        <w:spacing w:after="120"/>
        <w:rPr>
          <w:color w:val="auto"/>
          <w:sz w:val="22"/>
          <w:szCs w:val="22"/>
        </w:rPr>
      </w:pPr>
      <w:r w:rsidRPr="00B61BAF">
        <w:rPr>
          <w:color w:val="auto"/>
          <w:sz w:val="22"/>
          <w:szCs w:val="22"/>
        </w:rPr>
        <w:t xml:space="preserve">Results from the survey can be communicated to patients through tools such as a practice newsletter, practice website, flyers on the front desk, or notices in the waiting area. </w:t>
      </w:r>
    </w:p>
    <w:p w14:paraId="58F8DF9E" w14:textId="77777777" w:rsidR="00B3291D" w:rsidRPr="00B61BAF" w:rsidRDefault="00B3291D" w:rsidP="00B3291D">
      <w:pPr>
        <w:spacing w:after="120"/>
        <w:rPr>
          <w:color w:val="auto"/>
          <w:sz w:val="22"/>
          <w:szCs w:val="22"/>
        </w:rPr>
      </w:pPr>
      <w:r w:rsidRPr="00B61BAF">
        <w:rPr>
          <w:color w:val="auto"/>
          <w:sz w:val="22"/>
          <w:szCs w:val="22"/>
        </w:rPr>
        <w:t xml:space="preserve">Major changes to the service such as hours of opening or seasonal additions such as influenza clinics could be advertised in the public notices of the local or community newspapers. </w:t>
      </w:r>
    </w:p>
    <w:p w14:paraId="3E92F991" w14:textId="5EA7A2D0" w:rsidR="0075327D" w:rsidRPr="00B61BAF" w:rsidRDefault="00B3291D" w:rsidP="00B3291D">
      <w:pPr>
        <w:spacing w:after="120"/>
        <w:rPr>
          <w:color w:val="auto"/>
          <w:sz w:val="22"/>
          <w:szCs w:val="22"/>
        </w:rPr>
      </w:pPr>
      <w:r w:rsidRPr="00B61BAF">
        <w:rPr>
          <w:color w:val="auto"/>
          <w:sz w:val="22"/>
          <w:szCs w:val="22"/>
        </w:rPr>
        <w:t>Feedback to the practice team can occur at meetings, and via notices on the intranet, staff noticeboards, staff communication book, and so forth.</w:t>
      </w:r>
    </w:p>
    <w:p w14:paraId="3851F35A" w14:textId="77777777" w:rsidR="00AA51CD" w:rsidRPr="00356116" w:rsidRDefault="00AA51CD" w:rsidP="00687327">
      <w:pPr>
        <w:spacing w:before="240"/>
        <w:rPr>
          <w:b/>
          <w:color w:val="auto"/>
          <w:sz w:val="22"/>
          <w:szCs w:val="22"/>
        </w:rPr>
      </w:pPr>
      <w:bookmarkStart w:id="38" w:name="_Hlk4404507"/>
      <w:r w:rsidRPr="00356116">
        <w:rPr>
          <w:b/>
          <w:color w:val="auto"/>
          <w:sz w:val="22"/>
          <w:szCs w:val="22"/>
        </w:rPr>
        <w:t>Resources</w:t>
      </w:r>
    </w:p>
    <w:bookmarkEnd w:id="38"/>
    <w:p w14:paraId="34186908" w14:textId="593E9FD7" w:rsidR="0075327D" w:rsidRPr="0024030C" w:rsidRDefault="00C83D03" w:rsidP="0024030C">
      <w:pPr>
        <w:pStyle w:val="Resourcelist"/>
        <w:spacing w:after="120"/>
        <w:rPr>
          <w:rStyle w:val="Hyperlink"/>
          <w:color w:val="0000FF"/>
        </w:rPr>
      </w:pPr>
      <w:r w:rsidRPr="0024030C">
        <w:rPr>
          <w:rStyle w:val="Hyperlink"/>
          <w:color w:val="0000FF"/>
        </w:rPr>
        <w:fldChar w:fldCharType="begin"/>
      </w:r>
      <w:r w:rsidRPr="0024030C">
        <w:rPr>
          <w:rStyle w:val="Hyperlink"/>
          <w:color w:val="0000FF"/>
        </w:rPr>
        <w:instrText xml:space="preserve"> HYPERLINK "https://www.hqsc.govt.nz/" </w:instrText>
      </w:r>
      <w:r w:rsidRPr="0024030C">
        <w:rPr>
          <w:rStyle w:val="Hyperlink"/>
          <w:color w:val="0000FF"/>
        </w:rPr>
        <w:fldChar w:fldCharType="separate"/>
      </w:r>
      <w:r w:rsidR="004717F3" w:rsidRPr="0024030C">
        <w:rPr>
          <w:rStyle w:val="Hyperlink"/>
          <w:rFonts w:ascii="Arial" w:hAnsi="Arial" w:cs="Arial"/>
          <w:color w:val="0000FF"/>
        </w:rPr>
        <w:t xml:space="preserve">Health Quality &amp; Safety </w:t>
      </w:r>
      <w:r w:rsidR="00856407" w:rsidRPr="0024030C">
        <w:rPr>
          <w:rStyle w:val="Hyperlink"/>
          <w:rFonts w:ascii="Arial" w:hAnsi="Arial" w:cs="Arial"/>
          <w:color w:val="0000FF"/>
        </w:rPr>
        <w:t>Commission:</w:t>
      </w:r>
      <w:r w:rsidRPr="0024030C">
        <w:rPr>
          <w:rStyle w:val="Hyperlink"/>
          <w:color w:val="0000FF"/>
        </w:rPr>
        <w:fldChar w:fldCharType="end"/>
      </w:r>
    </w:p>
    <w:p w14:paraId="1DBD4A62" w14:textId="26087585" w:rsidR="00C83D03" w:rsidRPr="00C83D03" w:rsidRDefault="00CF1416" w:rsidP="006D11A9">
      <w:pPr>
        <w:pStyle w:val="Resourcelist-L2"/>
        <w:numPr>
          <w:ilvl w:val="0"/>
          <w:numId w:val="31"/>
        </w:numPr>
        <w:ind w:left="567" w:hanging="567"/>
        <w:rPr>
          <w:rFonts w:ascii="Arial" w:hAnsi="Arial" w:cs="Arial"/>
          <w:color w:val="0000FF"/>
        </w:rPr>
      </w:pPr>
      <w:hyperlink r:id="rId47" w:history="1">
        <w:r w:rsidR="00C83D03" w:rsidRPr="00C83D03">
          <w:rPr>
            <w:rStyle w:val="Hyperlink"/>
            <w:rFonts w:ascii="Arial" w:hAnsi="Arial" w:cs="Arial"/>
          </w:rPr>
          <w:t>Patient Experience</w:t>
        </w:r>
      </w:hyperlink>
    </w:p>
    <w:p w14:paraId="3515CA3A" w14:textId="653B1A06" w:rsidR="00C83D03" w:rsidRPr="002E20EB" w:rsidRDefault="00CF1416" w:rsidP="006D11A9">
      <w:pPr>
        <w:pStyle w:val="Resourcelist-L2"/>
        <w:numPr>
          <w:ilvl w:val="0"/>
          <w:numId w:val="31"/>
        </w:numPr>
        <w:spacing w:after="120"/>
        <w:ind w:left="567" w:hanging="567"/>
        <w:rPr>
          <w:rStyle w:val="Hyperlink"/>
          <w:rFonts w:ascii="Arial" w:hAnsi="Arial" w:cs="Arial"/>
        </w:rPr>
      </w:pPr>
      <w:hyperlink r:id="rId48" w:history="1">
        <w:r w:rsidR="00C83D03" w:rsidRPr="002715B5">
          <w:rPr>
            <w:rStyle w:val="Hyperlink"/>
            <w:rFonts w:ascii="Arial" w:hAnsi="Arial" w:cs="Arial"/>
          </w:rPr>
          <w:t>Primary Care Patient Experi</w:t>
        </w:r>
        <w:r w:rsidR="00E434DE">
          <w:rPr>
            <w:rStyle w:val="Hyperlink"/>
            <w:rFonts w:ascii="Arial" w:hAnsi="Arial" w:cs="Arial"/>
          </w:rPr>
          <w:t>e</w:t>
        </w:r>
        <w:r w:rsidR="00C83D03" w:rsidRPr="002715B5">
          <w:rPr>
            <w:rStyle w:val="Hyperlink"/>
            <w:rFonts w:ascii="Arial" w:hAnsi="Arial" w:cs="Arial"/>
          </w:rPr>
          <w:t>nce</w:t>
        </w:r>
      </w:hyperlink>
    </w:p>
    <w:p w14:paraId="6EA51860" w14:textId="17979867" w:rsidR="00735AE4" w:rsidRDefault="00CF1416" w:rsidP="0024030C">
      <w:pPr>
        <w:pStyle w:val="Resourcelist"/>
        <w:spacing w:after="120"/>
      </w:pPr>
      <w:hyperlink r:id="rId49" w:history="1">
        <w:r w:rsidR="00467B3A" w:rsidRPr="0024030C">
          <w:rPr>
            <w:rStyle w:val="Hyperlink"/>
            <w:rFonts w:ascii="Arial" w:hAnsi="Arial" w:cs="Arial"/>
            <w:color w:val="0000FF"/>
          </w:rPr>
          <w:t xml:space="preserve">Ministry of Health, </w:t>
        </w:r>
        <w:r w:rsidR="00190FA7" w:rsidRPr="0024030C">
          <w:rPr>
            <w:rStyle w:val="Hyperlink"/>
            <w:rFonts w:ascii="Arial" w:hAnsi="Arial" w:cs="Arial"/>
            <w:color w:val="0000FF"/>
          </w:rPr>
          <w:t xml:space="preserve">System Level Measures </w:t>
        </w:r>
        <w:r w:rsidR="00C80464" w:rsidRPr="0024030C">
          <w:rPr>
            <w:rStyle w:val="Hyperlink"/>
            <w:rFonts w:ascii="Arial" w:hAnsi="Arial" w:cs="Arial"/>
            <w:color w:val="0000FF"/>
          </w:rPr>
          <w:t>Framework</w:t>
        </w:r>
      </w:hyperlink>
      <w:r w:rsidR="00F628F5" w:rsidRPr="00E47750">
        <w:rPr>
          <w:b/>
          <w:color w:val="auto"/>
          <w:sz w:val="24"/>
        </w:rPr>
        <w:br w:type="page"/>
      </w:r>
    </w:p>
    <w:p w14:paraId="2C497FD4" w14:textId="77777777" w:rsidR="00735AE4" w:rsidRDefault="00735AE4" w:rsidP="0075327D">
      <w:pPr>
        <w:pStyle w:val="Heading1"/>
      </w:pPr>
    </w:p>
    <w:p w14:paraId="7ED0C566" w14:textId="77777777" w:rsidR="00E47750" w:rsidRDefault="00E47750" w:rsidP="0075327D">
      <w:pPr>
        <w:pStyle w:val="Heading1"/>
      </w:pPr>
    </w:p>
    <w:p w14:paraId="530DE47D" w14:textId="77777777" w:rsidR="00E47750" w:rsidRDefault="00E47750" w:rsidP="0075327D">
      <w:pPr>
        <w:pStyle w:val="Heading1"/>
      </w:pPr>
    </w:p>
    <w:p w14:paraId="389631AC" w14:textId="77777777" w:rsidR="00E47750" w:rsidRDefault="00E47750" w:rsidP="0075327D">
      <w:pPr>
        <w:pStyle w:val="Heading1"/>
      </w:pPr>
    </w:p>
    <w:p w14:paraId="139333F9" w14:textId="77777777" w:rsidR="00E47750" w:rsidRDefault="00E47750" w:rsidP="0075327D">
      <w:pPr>
        <w:pStyle w:val="Heading1"/>
      </w:pPr>
    </w:p>
    <w:p w14:paraId="02BCB0D8" w14:textId="77777777" w:rsidR="00E47750" w:rsidRDefault="00E47750" w:rsidP="0075327D">
      <w:pPr>
        <w:pStyle w:val="Heading1"/>
      </w:pPr>
    </w:p>
    <w:p w14:paraId="6D384917" w14:textId="77777777" w:rsidR="00E47750" w:rsidRDefault="00E47750" w:rsidP="0075327D">
      <w:pPr>
        <w:pStyle w:val="Heading1"/>
      </w:pPr>
    </w:p>
    <w:p w14:paraId="22F94A7F" w14:textId="77777777" w:rsidR="00E47750" w:rsidRDefault="00E47750" w:rsidP="0075327D">
      <w:pPr>
        <w:pStyle w:val="Heading1"/>
      </w:pPr>
    </w:p>
    <w:p w14:paraId="62BC025A" w14:textId="77777777" w:rsidR="00E47750" w:rsidRDefault="00E47750" w:rsidP="0075327D">
      <w:pPr>
        <w:pStyle w:val="Heading1"/>
      </w:pPr>
    </w:p>
    <w:p w14:paraId="309366A7" w14:textId="77777777" w:rsidR="00E47750" w:rsidRDefault="00E47750" w:rsidP="0075327D">
      <w:pPr>
        <w:pStyle w:val="Heading1"/>
      </w:pPr>
    </w:p>
    <w:p w14:paraId="1C9673DE" w14:textId="61B324B0" w:rsidR="0075327D" w:rsidRDefault="0075327D" w:rsidP="0075327D">
      <w:pPr>
        <w:pStyle w:val="Heading1"/>
        <w:rPr>
          <w:b w:val="0"/>
        </w:rPr>
      </w:pPr>
      <w:bookmarkStart w:id="39" w:name="_Toc6998663"/>
      <w:r w:rsidRPr="000C6773">
        <w:t>Section</w:t>
      </w:r>
      <w:r w:rsidRPr="0055408F">
        <w:t xml:space="preserve"> </w:t>
      </w:r>
      <w:r>
        <w:t>4: Tikanga Tangata</w:t>
      </w:r>
      <w:r w:rsidRPr="0055408F">
        <w:rPr>
          <w:b w:val="0"/>
        </w:rPr>
        <w:t xml:space="preserve"> | </w:t>
      </w:r>
      <w:r>
        <w:rPr>
          <w:b w:val="0"/>
        </w:rPr>
        <w:t>M</w:t>
      </w:r>
      <w:r>
        <w:rPr>
          <w:rFonts w:cs="Arial"/>
          <w:b w:val="0"/>
        </w:rPr>
        <w:t>ā</w:t>
      </w:r>
      <w:r>
        <w:rPr>
          <w:b w:val="0"/>
        </w:rPr>
        <w:t>ori rights, health needs and equity</w:t>
      </w:r>
      <w:bookmarkEnd w:id="39"/>
    </w:p>
    <w:p w14:paraId="584FD210" w14:textId="77777777" w:rsidR="0075327D" w:rsidRDefault="0075327D">
      <w:pPr>
        <w:spacing w:after="0"/>
      </w:pPr>
      <w:r>
        <w:br w:type="page"/>
      </w:r>
    </w:p>
    <w:p w14:paraId="7AE3D9E0" w14:textId="66EFC41A" w:rsidR="00760F5F" w:rsidRDefault="007E06CA" w:rsidP="006D11A9">
      <w:pPr>
        <w:pStyle w:val="HHLSubHeading"/>
        <w:numPr>
          <w:ilvl w:val="0"/>
          <w:numId w:val="0"/>
        </w:numPr>
        <w:tabs>
          <w:tab w:val="left" w:pos="1560"/>
        </w:tabs>
      </w:pPr>
      <w:bookmarkStart w:id="40" w:name="_Toc6998664"/>
      <w:r w:rsidRPr="00902640">
        <w:lastRenderedPageBreak/>
        <w:t xml:space="preserve">Indicator </w:t>
      </w:r>
      <w:r>
        <w:t>8</w:t>
      </w:r>
      <w:r w:rsidRPr="00902640">
        <w:t>.</w:t>
      </w:r>
      <w:r>
        <w:t xml:space="preserve"> </w:t>
      </w:r>
      <w:r w:rsidR="006D11A9">
        <w:tab/>
      </w:r>
      <w:r w:rsidR="00760F5F">
        <w:t>R</w:t>
      </w:r>
      <w:r w:rsidR="00760F5F" w:rsidRPr="00760F5F">
        <w:t>ights and health needs of Māori</w:t>
      </w:r>
      <w:bookmarkEnd w:id="40"/>
    </w:p>
    <w:p w14:paraId="63A62A87" w14:textId="35A31A94" w:rsidR="007E06CA" w:rsidRPr="00586837" w:rsidRDefault="007E06CA" w:rsidP="00586837">
      <w:pPr>
        <w:pStyle w:val="HHLBodyText"/>
        <w:rPr>
          <w:b/>
        </w:rPr>
      </w:pPr>
      <w:r w:rsidRPr="00586837">
        <w:rPr>
          <w:b/>
        </w:rPr>
        <w:t>Our practice</w:t>
      </w:r>
      <w:r w:rsidR="004524BF" w:rsidRPr="00586837">
        <w:rPr>
          <w:b/>
        </w:rPr>
        <w:t xml:space="preserve"> recognises, understand</w:t>
      </w:r>
      <w:r w:rsidR="003C458A">
        <w:rPr>
          <w:b/>
        </w:rPr>
        <w:t>s</w:t>
      </w:r>
      <w:r w:rsidR="004524BF" w:rsidRPr="00586837">
        <w:rPr>
          <w:b/>
        </w:rPr>
        <w:t xml:space="preserve"> and is responsive to the rights and health needs of </w:t>
      </w:r>
      <w:r w:rsidR="000F513E" w:rsidRPr="00586837">
        <w:rPr>
          <w:b/>
        </w:rPr>
        <w:t>Mā</w:t>
      </w:r>
      <w:r w:rsidR="004524BF" w:rsidRPr="00586837">
        <w:rPr>
          <w:b/>
        </w:rPr>
        <w:t>ori as Tangata Whenua</w:t>
      </w:r>
      <w:r w:rsidRPr="0058683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540"/>
        <w:gridCol w:w="4050"/>
      </w:tblGrid>
      <w:tr w:rsidR="007E06CA" w:rsidRPr="002E71B3" w14:paraId="2F01A4C8" w14:textId="77777777" w:rsidTr="00831A94">
        <w:tc>
          <w:tcPr>
            <w:tcW w:w="1153" w:type="dxa"/>
            <w:shd w:val="clear" w:color="auto" w:fill="FBD4B4" w:themeFill="accent6" w:themeFillTint="66"/>
          </w:tcPr>
          <w:p w14:paraId="003C7CEF" w14:textId="77777777" w:rsidR="007E06CA" w:rsidRPr="002E71B3" w:rsidRDefault="007E06CA" w:rsidP="004524BF">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2B919300" w14:textId="77777777" w:rsidR="007E06CA" w:rsidRPr="002E71B3" w:rsidRDefault="007E06CA" w:rsidP="004524BF">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0AC126FE" w14:textId="7940F1F9" w:rsidR="007E06CA" w:rsidRPr="002E71B3" w:rsidRDefault="007E06CA" w:rsidP="004524BF">
            <w:pPr>
              <w:spacing w:before="120" w:after="120"/>
              <w:rPr>
                <w:b/>
                <w:color w:val="auto"/>
                <w:sz w:val="22"/>
                <w:szCs w:val="22"/>
              </w:rPr>
            </w:pPr>
            <w:r w:rsidRPr="002E71B3">
              <w:rPr>
                <w:b/>
                <w:color w:val="auto"/>
                <w:sz w:val="22"/>
                <w:szCs w:val="22"/>
              </w:rPr>
              <w:t>Required evidence</w:t>
            </w:r>
          </w:p>
        </w:tc>
      </w:tr>
      <w:tr w:rsidR="00BC2CA2" w:rsidRPr="002E71B3" w14:paraId="4DD91C0B" w14:textId="77777777" w:rsidTr="00831A94">
        <w:tc>
          <w:tcPr>
            <w:tcW w:w="1153" w:type="dxa"/>
          </w:tcPr>
          <w:p w14:paraId="6D1B6392" w14:textId="285C1A19" w:rsidR="00BC2CA2" w:rsidRPr="000F513E" w:rsidRDefault="00BC2CA2" w:rsidP="004524BF">
            <w:pPr>
              <w:spacing w:before="60"/>
              <w:rPr>
                <w:color w:val="auto"/>
                <w:sz w:val="22"/>
                <w:szCs w:val="22"/>
              </w:rPr>
            </w:pPr>
            <w:r w:rsidRPr="000F513E">
              <w:rPr>
                <w:color w:val="auto"/>
                <w:sz w:val="22"/>
                <w:szCs w:val="22"/>
              </w:rPr>
              <w:t>8.1</w:t>
            </w:r>
          </w:p>
        </w:tc>
        <w:tc>
          <w:tcPr>
            <w:tcW w:w="4568" w:type="dxa"/>
          </w:tcPr>
          <w:p w14:paraId="5D004DE5" w14:textId="529F3F04" w:rsidR="00BC2CA2" w:rsidRPr="000F513E" w:rsidRDefault="00BC2CA2" w:rsidP="000F513E">
            <w:pPr>
              <w:spacing w:before="60"/>
              <w:rPr>
                <w:rFonts w:cs="Arial"/>
                <w:color w:val="auto"/>
                <w:sz w:val="22"/>
                <w:szCs w:val="22"/>
              </w:rPr>
            </w:pPr>
            <w:r>
              <w:rPr>
                <w:rFonts w:cs="Arial"/>
                <w:color w:val="auto"/>
                <w:sz w:val="22"/>
                <w:szCs w:val="22"/>
              </w:rPr>
              <w:t>U</w:t>
            </w:r>
            <w:r w:rsidRPr="000F513E">
              <w:rPr>
                <w:rFonts w:cs="Arial"/>
                <w:color w:val="auto"/>
                <w:sz w:val="22"/>
                <w:szCs w:val="22"/>
              </w:rPr>
              <w:t xml:space="preserve">nderstand the health needs of </w:t>
            </w:r>
            <w:r>
              <w:rPr>
                <w:rFonts w:cs="Arial"/>
                <w:color w:val="auto"/>
                <w:sz w:val="22"/>
                <w:szCs w:val="22"/>
              </w:rPr>
              <w:t>Māori</w:t>
            </w:r>
            <w:r w:rsidRPr="000F513E">
              <w:rPr>
                <w:rFonts w:cs="Arial"/>
                <w:color w:val="auto"/>
                <w:sz w:val="22"/>
                <w:szCs w:val="22"/>
              </w:rPr>
              <w:t xml:space="preserve"> and</w:t>
            </w:r>
            <w:r>
              <w:rPr>
                <w:rFonts w:cs="Arial"/>
                <w:color w:val="auto"/>
                <w:sz w:val="22"/>
                <w:szCs w:val="22"/>
              </w:rPr>
              <w:t xml:space="preserve">, </w:t>
            </w:r>
            <w:r w:rsidRPr="000F513E">
              <w:rPr>
                <w:rFonts w:cs="Arial"/>
                <w:color w:val="auto"/>
                <w:sz w:val="22"/>
                <w:szCs w:val="22"/>
              </w:rPr>
              <w:t xml:space="preserve">in partnership with local </w:t>
            </w:r>
            <w:r>
              <w:rPr>
                <w:rFonts w:cs="Arial"/>
                <w:color w:val="auto"/>
                <w:sz w:val="22"/>
                <w:szCs w:val="22"/>
              </w:rPr>
              <w:t>Māori</w:t>
            </w:r>
            <w:r w:rsidRPr="000F513E">
              <w:rPr>
                <w:rFonts w:cs="Arial"/>
                <w:color w:val="auto"/>
                <w:sz w:val="22"/>
                <w:szCs w:val="22"/>
              </w:rPr>
              <w:t xml:space="preserve"> organisations, provider groups and wh</w:t>
            </w:r>
            <w:r>
              <w:rPr>
                <w:rFonts w:cs="Arial"/>
                <w:color w:val="auto"/>
                <w:sz w:val="22"/>
                <w:szCs w:val="22"/>
              </w:rPr>
              <w:t>ā</w:t>
            </w:r>
            <w:r w:rsidRPr="000F513E">
              <w:rPr>
                <w:rFonts w:cs="Arial"/>
                <w:color w:val="auto"/>
                <w:sz w:val="22"/>
                <w:szCs w:val="22"/>
              </w:rPr>
              <w:t>nau</w:t>
            </w:r>
            <w:r>
              <w:rPr>
                <w:rFonts w:cs="Arial"/>
                <w:color w:val="auto"/>
                <w:sz w:val="22"/>
                <w:szCs w:val="22"/>
              </w:rPr>
              <w:t>,</w:t>
            </w:r>
            <w:r w:rsidRPr="000F513E">
              <w:rPr>
                <w:rFonts w:cs="Arial"/>
                <w:color w:val="auto"/>
                <w:sz w:val="22"/>
                <w:szCs w:val="22"/>
              </w:rPr>
              <w:t xml:space="preserve"> actively improve access and care to achieve equity.</w:t>
            </w:r>
          </w:p>
          <w:p w14:paraId="4EC7CCDA" w14:textId="493EBA14" w:rsidR="00BC2CA2" w:rsidRPr="000F513E" w:rsidRDefault="00BC2CA2" w:rsidP="004524BF">
            <w:pPr>
              <w:spacing w:before="60"/>
              <w:rPr>
                <w:color w:val="auto"/>
                <w:sz w:val="22"/>
                <w:szCs w:val="22"/>
              </w:rPr>
            </w:pPr>
          </w:p>
        </w:tc>
        <w:tc>
          <w:tcPr>
            <w:tcW w:w="4075" w:type="dxa"/>
          </w:tcPr>
          <w:p w14:paraId="4EC32A4C" w14:textId="07A5B722" w:rsidR="00BC2CA2" w:rsidRPr="00CD6C8D" w:rsidRDefault="00BC2CA2" w:rsidP="00CD6C8D">
            <w:pPr>
              <w:spacing w:before="60"/>
              <w:ind w:left="16"/>
              <w:rPr>
                <w:color w:val="auto"/>
                <w:sz w:val="22"/>
                <w:szCs w:val="22"/>
              </w:rPr>
            </w:pPr>
            <w:r w:rsidRPr="00CD6C8D">
              <w:rPr>
                <w:color w:val="auto"/>
                <w:sz w:val="22"/>
                <w:szCs w:val="22"/>
              </w:rPr>
              <w:t>A Māori Health Plan which includes examples of how the practice has identified and is addressing inequities in healthcare.</w:t>
            </w:r>
          </w:p>
          <w:p w14:paraId="303A9089" w14:textId="77777777" w:rsidR="00BC2CA2" w:rsidRPr="00CD6C8D" w:rsidRDefault="00BC2CA2" w:rsidP="00CD6C8D">
            <w:pPr>
              <w:spacing w:before="60"/>
              <w:ind w:left="16"/>
              <w:rPr>
                <w:color w:val="auto"/>
                <w:sz w:val="22"/>
                <w:szCs w:val="22"/>
              </w:rPr>
            </w:pPr>
            <w:r w:rsidRPr="00CD6C8D">
              <w:rPr>
                <w:color w:val="auto"/>
                <w:sz w:val="22"/>
                <w:szCs w:val="22"/>
              </w:rPr>
              <w:t>A list of local Māori organisations, provider groups and whānau that the practice works in partnership with, including explaining the context of the partnership.</w:t>
            </w:r>
          </w:p>
          <w:p w14:paraId="620AA7ED" w14:textId="51C792F6" w:rsidR="00BC2CA2" w:rsidRPr="00CD6C8D" w:rsidRDefault="00BC2CA2" w:rsidP="00CD6C8D">
            <w:pPr>
              <w:spacing w:before="60"/>
              <w:ind w:left="16"/>
              <w:rPr>
                <w:rFonts w:cs="Arial"/>
                <w:szCs w:val="22"/>
              </w:rPr>
            </w:pPr>
            <w:r w:rsidRPr="00CD6C8D">
              <w:rPr>
                <w:color w:val="auto"/>
                <w:sz w:val="22"/>
                <w:szCs w:val="22"/>
              </w:rPr>
              <w:t>Minutes or file notes of partnership meetings with local Māori organisations</w:t>
            </w:r>
            <w:r w:rsidRPr="00506474">
              <w:rPr>
                <w:color w:val="auto"/>
                <w:sz w:val="22"/>
                <w:szCs w:val="22"/>
              </w:rPr>
              <w:t>, provider groups and whānau, including outcomes of the partnership activity.</w:t>
            </w:r>
          </w:p>
        </w:tc>
      </w:tr>
      <w:tr w:rsidR="00331894" w:rsidRPr="002E71B3" w14:paraId="3153B1BB" w14:textId="77777777" w:rsidTr="00831A94">
        <w:tc>
          <w:tcPr>
            <w:tcW w:w="1153" w:type="dxa"/>
          </w:tcPr>
          <w:p w14:paraId="1D15AFE2" w14:textId="769EFF67" w:rsidR="00331894" w:rsidRPr="000F513E" w:rsidRDefault="00331894" w:rsidP="00331894">
            <w:pPr>
              <w:spacing w:before="60"/>
              <w:rPr>
                <w:color w:val="auto"/>
                <w:sz w:val="22"/>
                <w:szCs w:val="22"/>
              </w:rPr>
            </w:pPr>
            <w:r w:rsidRPr="000F513E">
              <w:rPr>
                <w:color w:val="auto"/>
                <w:sz w:val="22"/>
                <w:szCs w:val="22"/>
              </w:rPr>
              <w:t>8.</w:t>
            </w:r>
            <w:r w:rsidR="00BC2CA2">
              <w:rPr>
                <w:color w:val="auto"/>
                <w:sz w:val="22"/>
                <w:szCs w:val="22"/>
              </w:rPr>
              <w:t>2</w:t>
            </w:r>
          </w:p>
        </w:tc>
        <w:tc>
          <w:tcPr>
            <w:tcW w:w="4568" w:type="dxa"/>
          </w:tcPr>
          <w:p w14:paraId="64093B6E" w14:textId="1C1D395C" w:rsidR="00331894" w:rsidRPr="000F513E" w:rsidRDefault="00331894" w:rsidP="00331894">
            <w:pPr>
              <w:spacing w:before="60"/>
              <w:rPr>
                <w:color w:val="auto"/>
                <w:sz w:val="22"/>
                <w:szCs w:val="22"/>
              </w:rPr>
            </w:pPr>
            <w:r w:rsidRPr="000F513E">
              <w:rPr>
                <w:rFonts w:cs="Arial"/>
                <w:color w:val="auto"/>
                <w:sz w:val="22"/>
                <w:szCs w:val="22"/>
              </w:rPr>
              <w:t>Educate all team members in Te Tiriti o Waitangi</w:t>
            </w:r>
            <w:r>
              <w:rPr>
                <w:rFonts w:cs="Arial"/>
                <w:color w:val="auto"/>
                <w:sz w:val="22"/>
                <w:szCs w:val="22"/>
              </w:rPr>
              <w:t>/Treaty of Waitangi</w:t>
            </w:r>
            <w:r w:rsidRPr="000F513E">
              <w:rPr>
                <w:rFonts w:cs="Arial"/>
                <w:color w:val="auto"/>
                <w:sz w:val="22"/>
                <w:szCs w:val="22"/>
              </w:rPr>
              <w:t xml:space="preserve"> including the principles of </w:t>
            </w:r>
            <w:r w:rsidRPr="00CB4D81">
              <w:rPr>
                <w:rFonts w:cs="Arial"/>
                <w:i/>
                <w:color w:val="auto"/>
                <w:sz w:val="22"/>
                <w:szCs w:val="22"/>
              </w:rPr>
              <w:t>Partnership, Participation and Protection “and its application in a health context.</w:t>
            </w:r>
          </w:p>
        </w:tc>
        <w:tc>
          <w:tcPr>
            <w:tcW w:w="4075" w:type="dxa"/>
          </w:tcPr>
          <w:p w14:paraId="5E4537B6" w14:textId="647C5D03" w:rsidR="00C03BEB" w:rsidRPr="00F628F5" w:rsidRDefault="00C03BEB" w:rsidP="00C03BEB">
            <w:pPr>
              <w:spacing w:before="60"/>
              <w:rPr>
                <w:color w:val="auto"/>
                <w:sz w:val="22"/>
                <w:szCs w:val="22"/>
              </w:rPr>
            </w:pPr>
            <w:r w:rsidRPr="00F628F5">
              <w:rPr>
                <w:color w:val="auto"/>
                <w:sz w:val="22"/>
                <w:szCs w:val="22"/>
              </w:rPr>
              <w:t>Staff training records</w:t>
            </w:r>
            <w:r w:rsidR="00CB4D81">
              <w:rPr>
                <w:color w:val="auto"/>
                <w:sz w:val="22"/>
                <w:szCs w:val="22"/>
              </w:rPr>
              <w:t xml:space="preserve"> that demonstrate </w:t>
            </w:r>
            <w:r>
              <w:rPr>
                <w:color w:val="auto"/>
                <w:sz w:val="22"/>
                <w:szCs w:val="22"/>
              </w:rPr>
              <w:t>completion of required training.</w:t>
            </w:r>
          </w:p>
          <w:p w14:paraId="5139CBFE" w14:textId="4038CE0A" w:rsidR="00331894" w:rsidRPr="000F513E" w:rsidRDefault="00331894" w:rsidP="00331894">
            <w:pPr>
              <w:spacing w:before="60"/>
              <w:rPr>
                <w:color w:val="auto"/>
                <w:sz w:val="22"/>
                <w:szCs w:val="22"/>
              </w:rPr>
            </w:pPr>
          </w:p>
        </w:tc>
      </w:tr>
      <w:tr w:rsidR="00331894" w:rsidRPr="002E71B3" w14:paraId="7C522937" w14:textId="77777777" w:rsidTr="00831A94">
        <w:tc>
          <w:tcPr>
            <w:tcW w:w="1153" w:type="dxa"/>
          </w:tcPr>
          <w:p w14:paraId="3E5A2187" w14:textId="000E3504" w:rsidR="00331894" w:rsidRPr="000F513E" w:rsidRDefault="00331894" w:rsidP="00331894">
            <w:pPr>
              <w:spacing w:before="60"/>
              <w:rPr>
                <w:color w:val="auto"/>
                <w:sz w:val="22"/>
                <w:szCs w:val="22"/>
              </w:rPr>
            </w:pPr>
            <w:r w:rsidRPr="000F513E">
              <w:rPr>
                <w:color w:val="auto"/>
                <w:sz w:val="22"/>
                <w:szCs w:val="22"/>
              </w:rPr>
              <w:t>8.</w:t>
            </w:r>
            <w:r w:rsidR="00632F51">
              <w:rPr>
                <w:color w:val="auto"/>
                <w:sz w:val="22"/>
                <w:szCs w:val="22"/>
              </w:rPr>
              <w:t xml:space="preserve">3 </w:t>
            </w:r>
          </w:p>
        </w:tc>
        <w:tc>
          <w:tcPr>
            <w:tcW w:w="4568" w:type="dxa"/>
          </w:tcPr>
          <w:p w14:paraId="22C5043F" w14:textId="6E03C95F" w:rsidR="00331894" w:rsidRPr="000F513E" w:rsidRDefault="00331894" w:rsidP="00331894">
            <w:pPr>
              <w:spacing w:before="60"/>
              <w:rPr>
                <w:rFonts w:cs="Arial"/>
                <w:color w:val="auto"/>
                <w:sz w:val="22"/>
                <w:szCs w:val="22"/>
              </w:rPr>
            </w:pPr>
            <w:r w:rsidRPr="000F513E">
              <w:rPr>
                <w:rFonts w:cs="Arial"/>
                <w:color w:val="auto"/>
                <w:sz w:val="22"/>
                <w:szCs w:val="22"/>
              </w:rPr>
              <w:t xml:space="preserve">Ensure all team members are supported with pronouncing </w:t>
            </w:r>
            <w:r>
              <w:rPr>
                <w:rFonts w:cs="Arial"/>
                <w:color w:val="auto"/>
                <w:sz w:val="22"/>
                <w:szCs w:val="22"/>
              </w:rPr>
              <w:t>Māori</w:t>
            </w:r>
            <w:r w:rsidRPr="000F513E">
              <w:rPr>
                <w:rFonts w:cs="Arial"/>
                <w:color w:val="auto"/>
                <w:sz w:val="22"/>
                <w:szCs w:val="22"/>
              </w:rPr>
              <w:t xml:space="preserve"> patient, clinic</w:t>
            </w:r>
            <w:r>
              <w:rPr>
                <w:rFonts w:cs="Arial"/>
                <w:color w:val="auto"/>
                <w:sz w:val="22"/>
                <w:szCs w:val="22"/>
              </w:rPr>
              <w:t>, service provider</w:t>
            </w:r>
            <w:r w:rsidRPr="000F513E">
              <w:rPr>
                <w:rFonts w:cs="Arial"/>
                <w:color w:val="auto"/>
                <w:sz w:val="22"/>
                <w:szCs w:val="22"/>
              </w:rPr>
              <w:t xml:space="preserve"> and local place names.</w:t>
            </w:r>
          </w:p>
        </w:tc>
        <w:tc>
          <w:tcPr>
            <w:tcW w:w="4075" w:type="dxa"/>
          </w:tcPr>
          <w:p w14:paraId="3D9F5C4F" w14:textId="5D4649EF" w:rsidR="00236854" w:rsidRDefault="00331894" w:rsidP="00CD6C8D">
            <w:pPr>
              <w:spacing w:before="60"/>
              <w:rPr>
                <w:rFonts w:cs="Arial"/>
                <w:color w:val="auto"/>
                <w:sz w:val="22"/>
                <w:szCs w:val="22"/>
              </w:rPr>
            </w:pPr>
            <w:r w:rsidRPr="00CD6C8D">
              <w:rPr>
                <w:rFonts w:cs="Arial"/>
                <w:color w:val="auto"/>
                <w:sz w:val="22"/>
                <w:szCs w:val="22"/>
              </w:rPr>
              <w:t>Te reo Māori signage and resources.</w:t>
            </w:r>
          </w:p>
          <w:p w14:paraId="7B40B44F" w14:textId="4C079FB9" w:rsidR="00331894" w:rsidRPr="00236854" w:rsidRDefault="00236854" w:rsidP="00CD6C8D">
            <w:pPr>
              <w:spacing w:before="60"/>
              <w:rPr>
                <w:rFonts w:cs="Arial"/>
                <w:sz w:val="22"/>
                <w:szCs w:val="22"/>
              </w:rPr>
            </w:pPr>
            <w:r>
              <w:rPr>
                <w:rFonts w:cs="Arial"/>
                <w:color w:val="auto"/>
                <w:sz w:val="22"/>
                <w:szCs w:val="22"/>
              </w:rPr>
              <w:t>Activities / resources</w:t>
            </w:r>
            <w:r w:rsidR="00632F51">
              <w:rPr>
                <w:rFonts w:cs="Arial"/>
                <w:color w:val="auto"/>
                <w:sz w:val="22"/>
                <w:szCs w:val="22"/>
              </w:rPr>
              <w:t xml:space="preserve"> </w:t>
            </w:r>
            <w:r w:rsidR="00CE16EE" w:rsidRPr="00CD6C8D">
              <w:rPr>
                <w:rFonts w:cs="Arial"/>
                <w:color w:val="auto"/>
                <w:sz w:val="22"/>
                <w:szCs w:val="22"/>
              </w:rPr>
              <w:t xml:space="preserve">to assist staff to use correct pronunciation of te reo, particularly Māori patient </w:t>
            </w:r>
            <w:r w:rsidR="00856407" w:rsidRPr="00CD6C8D">
              <w:rPr>
                <w:rFonts w:cs="Arial"/>
                <w:color w:val="auto"/>
                <w:sz w:val="22"/>
                <w:szCs w:val="22"/>
              </w:rPr>
              <w:t>names</w:t>
            </w:r>
            <w:r w:rsidR="00856407" w:rsidRPr="00236854">
              <w:rPr>
                <w:rFonts w:cs="Arial"/>
                <w:sz w:val="22"/>
                <w:szCs w:val="22"/>
              </w:rPr>
              <w:t>.</w:t>
            </w:r>
            <w:r w:rsidR="00331894" w:rsidRPr="00236854">
              <w:rPr>
                <w:rFonts w:cs="Arial"/>
                <w:sz w:val="22"/>
                <w:szCs w:val="22"/>
              </w:rPr>
              <w:t xml:space="preserve"> </w:t>
            </w:r>
          </w:p>
        </w:tc>
      </w:tr>
    </w:tbl>
    <w:p w14:paraId="5DBBF494" w14:textId="77777777" w:rsidR="00831A94" w:rsidRPr="005B2DE1" w:rsidRDefault="00831A94" w:rsidP="00831A94">
      <w:pPr>
        <w:pStyle w:val="HHLBodyText"/>
        <w:spacing w:before="240"/>
        <w:rPr>
          <w:b/>
          <w:sz w:val="22"/>
          <w:szCs w:val="22"/>
        </w:rPr>
      </w:pPr>
      <w:r w:rsidRPr="005B2DE1">
        <w:rPr>
          <w:b/>
          <w:sz w:val="22"/>
          <w:szCs w:val="22"/>
        </w:rPr>
        <w:t>Required training</w:t>
      </w:r>
    </w:p>
    <w:p w14:paraId="34F399A8" w14:textId="14EE42C9" w:rsidR="004D3AFD" w:rsidRDefault="005A5136" w:rsidP="005A5136">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r>
        <w:rPr>
          <w:sz w:val="22"/>
          <w:szCs w:val="22"/>
        </w:rPr>
        <w:t xml:space="preserve"> </w:t>
      </w:r>
      <w:r w:rsidR="001803B0">
        <w:rPr>
          <w:sz w:val="22"/>
          <w:szCs w:val="22"/>
        </w:rPr>
        <w:t xml:space="preserve">however </w:t>
      </w:r>
      <w:r w:rsidR="004D3AFD">
        <w:rPr>
          <w:sz w:val="22"/>
          <w:szCs w:val="22"/>
        </w:rPr>
        <w:t>training options include</w:t>
      </w:r>
      <w:r w:rsidR="00091855">
        <w:rPr>
          <w:sz w:val="22"/>
          <w:szCs w:val="22"/>
        </w:rPr>
        <w:t>:</w:t>
      </w:r>
    </w:p>
    <w:p w14:paraId="3F399575" w14:textId="1E5D64CD" w:rsidR="00475B06" w:rsidRPr="003B69D3" w:rsidRDefault="00CF1416" w:rsidP="006D11A9">
      <w:pPr>
        <w:pStyle w:val="Bullets"/>
        <w:ind w:left="567" w:hanging="567"/>
        <w:rPr>
          <w:rFonts w:ascii="Arial" w:hAnsi="Arial" w:cs="Arial"/>
          <w:szCs w:val="22"/>
        </w:rPr>
      </w:pPr>
      <w:hyperlink r:id="rId50" w:history="1">
        <w:r w:rsidR="00475B06" w:rsidRPr="002B503B">
          <w:rPr>
            <w:rStyle w:val="Hyperlink"/>
            <w:rFonts w:ascii="Arial" w:hAnsi="Arial" w:cs="Arial"/>
            <w:szCs w:val="22"/>
          </w:rPr>
          <w:t>Ministry of Health Foundation Course in Cultural Competency</w:t>
        </w:r>
      </w:hyperlink>
      <w:r w:rsidR="00475B06" w:rsidRPr="003B69D3">
        <w:rPr>
          <w:rFonts w:ascii="Arial" w:hAnsi="Arial" w:cs="Arial"/>
          <w:szCs w:val="22"/>
        </w:rPr>
        <w:t xml:space="preserve"> </w:t>
      </w:r>
      <w:hyperlink r:id="rId51" w:history="1"/>
    </w:p>
    <w:p w14:paraId="1F2789DD" w14:textId="4AAEA908" w:rsidR="00475B06" w:rsidRPr="003B69D3" w:rsidRDefault="00CF1416" w:rsidP="006D11A9">
      <w:pPr>
        <w:pStyle w:val="Bullets"/>
        <w:ind w:left="567" w:hanging="567"/>
        <w:rPr>
          <w:rFonts w:ascii="Arial" w:hAnsi="Arial" w:cs="Arial"/>
          <w:szCs w:val="22"/>
        </w:rPr>
      </w:pPr>
      <w:hyperlink r:id="rId52" w:history="1">
        <w:r w:rsidR="00475B06" w:rsidRPr="008D4013">
          <w:rPr>
            <w:rStyle w:val="Hyperlink"/>
            <w:rFonts w:ascii="Arial" w:hAnsi="Arial" w:cs="Arial"/>
            <w:szCs w:val="22"/>
          </w:rPr>
          <w:t>Mauriora Health Education Research: Foundation Course in Cultural Competency (Māori)</w:t>
        </w:r>
      </w:hyperlink>
      <w:r w:rsidR="00475B06" w:rsidRPr="003B69D3">
        <w:rPr>
          <w:rFonts w:ascii="Arial" w:hAnsi="Arial" w:cs="Arial"/>
          <w:szCs w:val="22"/>
        </w:rPr>
        <w:t xml:space="preserve">  </w:t>
      </w:r>
      <w:hyperlink r:id="rId53" w:history="1"/>
    </w:p>
    <w:p w14:paraId="5101750C" w14:textId="27EEF894" w:rsidR="00504B37" w:rsidRDefault="00504B37" w:rsidP="00530336">
      <w:pPr>
        <w:pStyle w:val="HHLBodyText"/>
        <w:spacing w:before="240" w:after="0"/>
        <w:rPr>
          <w:b/>
          <w:sz w:val="22"/>
          <w:szCs w:val="22"/>
        </w:rPr>
      </w:pPr>
      <w:r w:rsidRPr="005B2DE1">
        <w:rPr>
          <w:b/>
          <w:sz w:val="22"/>
          <w:szCs w:val="22"/>
        </w:rPr>
        <w:t>Guidance notes</w:t>
      </w:r>
    </w:p>
    <w:p w14:paraId="0F685ED1" w14:textId="31F33B1B" w:rsidR="00AD3140" w:rsidRPr="00030420" w:rsidRDefault="00AD3140" w:rsidP="00530336">
      <w:pPr>
        <w:spacing w:before="120"/>
        <w:rPr>
          <w:i/>
          <w:color w:val="auto"/>
          <w:sz w:val="24"/>
        </w:rPr>
      </w:pPr>
      <w:r w:rsidRPr="00030420">
        <w:rPr>
          <w:i/>
          <w:color w:val="auto"/>
          <w:sz w:val="24"/>
        </w:rPr>
        <w:t>Māori Health Plan</w:t>
      </w:r>
    </w:p>
    <w:p w14:paraId="320A1F44" w14:textId="2945C407" w:rsidR="00AD3140" w:rsidRPr="00AD3140" w:rsidRDefault="00657335" w:rsidP="00657335">
      <w:pPr>
        <w:pStyle w:val="HHLBodyText"/>
        <w:rPr>
          <w:sz w:val="22"/>
          <w:szCs w:val="22"/>
        </w:rPr>
      </w:pPr>
      <w:r w:rsidRPr="00657335">
        <w:rPr>
          <w:sz w:val="22"/>
          <w:szCs w:val="22"/>
        </w:rPr>
        <w:t xml:space="preserve">A Māori Health Plan </w:t>
      </w:r>
      <w:r w:rsidR="00AD3140" w:rsidRPr="00AD3140">
        <w:rPr>
          <w:sz w:val="22"/>
          <w:szCs w:val="22"/>
        </w:rPr>
        <w:t xml:space="preserve">describes how to reduce disparities. The plan </w:t>
      </w:r>
      <w:r>
        <w:rPr>
          <w:sz w:val="22"/>
          <w:szCs w:val="22"/>
        </w:rPr>
        <w:t>should</w:t>
      </w:r>
      <w:r w:rsidR="00AD3140" w:rsidRPr="00AD3140">
        <w:rPr>
          <w:sz w:val="22"/>
          <w:szCs w:val="22"/>
        </w:rPr>
        <w:t xml:space="preserve"> include the practice demographics for Māori. The plan can then be linked to the local </w:t>
      </w:r>
      <w:r>
        <w:rPr>
          <w:sz w:val="22"/>
          <w:szCs w:val="22"/>
        </w:rPr>
        <w:t>D</w:t>
      </w:r>
      <w:r w:rsidR="00AD3140" w:rsidRPr="00AD3140">
        <w:rPr>
          <w:sz w:val="22"/>
          <w:szCs w:val="22"/>
        </w:rPr>
        <w:t xml:space="preserve">istrict </w:t>
      </w:r>
      <w:r>
        <w:rPr>
          <w:sz w:val="22"/>
          <w:szCs w:val="22"/>
        </w:rPr>
        <w:t>H</w:t>
      </w:r>
      <w:r w:rsidR="00AD3140" w:rsidRPr="00AD3140">
        <w:rPr>
          <w:sz w:val="22"/>
          <w:szCs w:val="22"/>
        </w:rPr>
        <w:t xml:space="preserve">ealth </w:t>
      </w:r>
      <w:r>
        <w:rPr>
          <w:sz w:val="22"/>
          <w:szCs w:val="22"/>
        </w:rPr>
        <w:t>B</w:t>
      </w:r>
      <w:r w:rsidR="00AD3140" w:rsidRPr="00AD3140">
        <w:rPr>
          <w:sz w:val="22"/>
          <w:szCs w:val="22"/>
        </w:rPr>
        <w:t xml:space="preserve">oard or other primary health organisation’s Māori Health Plan. </w:t>
      </w:r>
    </w:p>
    <w:p w14:paraId="495E350A" w14:textId="0E9E0092" w:rsidR="00AD3140" w:rsidRPr="00AD3140" w:rsidRDefault="00AD3140" w:rsidP="003C458A">
      <w:pPr>
        <w:pStyle w:val="HHLBodyText"/>
        <w:spacing w:after="0"/>
        <w:rPr>
          <w:sz w:val="22"/>
          <w:szCs w:val="22"/>
        </w:rPr>
      </w:pPr>
      <w:r w:rsidRPr="00AD3140">
        <w:rPr>
          <w:sz w:val="22"/>
          <w:szCs w:val="22"/>
        </w:rPr>
        <w:t xml:space="preserve">The Māori Health Plan </w:t>
      </w:r>
      <w:r w:rsidR="00657335">
        <w:rPr>
          <w:sz w:val="22"/>
          <w:szCs w:val="22"/>
        </w:rPr>
        <w:t>should</w:t>
      </w:r>
      <w:r w:rsidRPr="00AD3140">
        <w:rPr>
          <w:sz w:val="22"/>
          <w:szCs w:val="22"/>
        </w:rPr>
        <w:t xml:space="preserve"> state how you will:</w:t>
      </w:r>
    </w:p>
    <w:p w14:paraId="3E25A975" w14:textId="0E496D39" w:rsidR="00AD3140" w:rsidRPr="00AD3140" w:rsidRDefault="00657335" w:rsidP="006D11A9">
      <w:pPr>
        <w:pStyle w:val="HHLBodyText"/>
        <w:numPr>
          <w:ilvl w:val="0"/>
          <w:numId w:val="20"/>
        </w:numPr>
        <w:tabs>
          <w:tab w:val="left" w:pos="567"/>
        </w:tabs>
        <w:spacing w:after="0"/>
        <w:ind w:left="547" w:hanging="547"/>
        <w:rPr>
          <w:sz w:val="22"/>
          <w:szCs w:val="22"/>
        </w:rPr>
      </w:pPr>
      <w:r>
        <w:rPr>
          <w:sz w:val="22"/>
          <w:szCs w:val="22"/>
        </w:rPr>
        <w:t>A</w:t>
      </w:r>
      <w:r w:rsidR="00AD3140" w:rsidRPr="00AD3140">
        <w:rPr>
          <w:sz w:val="22"/>
          <w:szCs w:val="22"/>
        </w:rPr>
        <w:t>ddress Māori health priority areas and specific practice population issues for Māori (the Government has identified a range of priority areas in He Korowai Oranga: Māori Health Strategy for improving Māori health and to improve access to appropriate, affordable and acceptable primary health services)</w:t>
      </w:r>
      <w:r w:rsidR="00A81042">
        <w:rPr>
          <w:sz w:val="22"/>
          <w:szCs w:val="22"/>
        </w:rPr>
        <w:t>.</w:t>
      </w:r>
    </w:p>
    <w:p w14:paraId="45E2CBC3" w14:textId="66E66672" w:rsidR="00AD3140" w:rsidRPr="00AD3140" w:rsidRDefault="00C06CE4" w:rsidP="006D11A9">
      <w:pPr>
        <w:pStyle w:val="HHLBodyText"/>
        <w:numPr>
          <w:ilvl w:val="0"/>
          <w:numId w:val="20"/>
        </w:numPr>
        <w:tabs>
          <w:tab w:val="left" w:pos="567"/>
        </w:tabs>
        <w:spacing w:after="0"/>
        <w:ind w:left="547" w:hanging="547"/>
        <w:rPr>
          <w:sz w:val="22"/>
          <w:szCs w:val="22"/>
        </w:rPr>
      </w:pPr>
      <w:r>
        <w:rPr>
          <w:sz w:val="22"/>
          <w:szCs w:val="22"/>
        </w:rPr>
        <w:t>I</w:t>
      </w:r>
      <w:r w:rsidR="00AD3140" w:rsidRPr="00AD3140">
        <w:rPr>
          <w:sz w:val="22"/>
          <w:szCs w:val="22"/>
        </w:rPr>
        <w:t>mplement measures to address priority areas as stated in He Korowai Oranga: Māori Health Strategy</w:t>
      </w:r>
      <w:r w:rsidR="00A81042">
        <w:rPr>
          <w:sz w:val="22"/>
          <w:szCs w:val="22"/>
        </w:rPr>
        <w:t>.</w:t>
      </w:r>
    </w:p>
    <w:p w14:paraId="28AFE503" w14:textId="2B0193F2" w:rsidR="00AD3140" w:rsidRPr="00AD3140" w:rsidRDefault="00331D39" w:rsidP="006D11A9">
      <w:pPr>
        <w:pStyle w:val="HHLBodyText"/>
        <w:numPr>
          <w:ilvl w:val="0"/>
          <w:numId w:val="20"/>
        </w:numPr>
        <w:tabs>
          <w:tab w:val="left" w:pos="567"/>
        </w:tabs>
        <w:spacing w:after="0"/>
        <w:ind w:left="547" w:hanging="547"/>
        <w:rPr>
          <w:sz w:val="22"/>
          <w:szCs w:val="22"/>
        </w:rPr>
      </w:pPr>
      <w:r>
        <w:rPr>
          <w:sz w:val="22"/>
          <w:szCs w:val="22"/>
        </w:rPr>
        <w:lastRenderedPageBreak/>
        <w:t>T</w:t>
      </w:r>
      <w:r w:rsidR="00AD3140" w:rsidRPr="00AD3140">
        <w:rPr>
          <w:sz w:val="22"/>
          <w:szCs w:val="22"/>
        </w:rPr>
        <w:t>arget services for the enrolled Māori population; and ensure ethnicity data on Māori is available and robust; and establish priorities for Māori in the practice and set goals that will benefit their health outcomes</w:t>
      </w:r>
      <w:r w:rsidR="00A81042">
        <w:rPr>
          <w:sz w:val="22"/>
          <w:szCs w:val="22"/>
        </w:rPr>
        <w:t>.</w:t>
      </w:r>
    </w:p>
    <w:p w14:paraId="7EF17083" w14:textId="4551DB27" w:rsidR="00AD3140" w:rsidRPr="00AD3140" w:rsidRDefault="00331D39" w:rsidP="006D11A9">
      <w:pPr>
        <w:pStyle w:val="HHLBodyText"/>
        <w:numPr>
          <w:ilvl w:val="0"/>
          <w:numId w:val="20"/>
        </w:numPr>
        <w:tabs>
          <w:tab w:val="left" w:pos="567"/>
        </w:tabs>
        <w:spacing w:after="0"/>
        <w:ind w:left="547" w:hanging="547"/>
        <w:rPr>
          <w:sz w:val="22"/>
          <w:szCs w:val="22"/>
        </w:rPr>
      </w:pPr>
      <w:r>
        <w:rPr>
          <w:sz w:val="22"/>
          <w:szCs w:val="22"/>
        </w:rPr>
        <w:t>D</w:t>
      </w:r>
      <w:r w:rsidR="00AD3140" w:rsidRPr="00AD3140">
        <w:rPr>
          <w:sz w:val="22"/>
          <w:szCs w:val="22"/>
        </w:rPr>
        <w:t xml:space="preserve">emonstrate that </w:t>
      </w:r>
      <w:r>
        <w:rPr>
          <w:sz w:val="22"/>
          <w:szCs w:val="22"/>
        </w:rPr>
        <w:t>you</w:t>
      </w:r>
      <w:r w:rsidR="00AD3140" w:rsidRPr="00AD3140">
        <w:rPr>
          <w:sz w:val="22"/>
          <w:szCs w:val="22"/>
        </w:rPr>
        <w:t xml:space="preserve"> are making additional efforts to address the needs of Māori. These efforts might include:</w:t>
      </w:r>
    </w:p>
    <w:p w14:paraId="0F765C49" w14:textId="310062D2" w:rsidR="00AD3140" w:rsidRPr="00AD3140" w:rsidRDefault="00331D39" w:rsidP="006D11A9">
      <w:pPr>
        <w:pStyle w:val="HHLBodyText"/>
        <w:numPr>
          <w:ilvl w:val="0"/>
          <w:numId w:val="21"/>
        </w:numPr>
        <w:tabs>
          <w:tab w:val="left" w:pos="1134"/>
        </w:tabs>
        <w:spacing w:before="60" w:after="60"/>
        <w:ind w:left="1134" w:hanging="567"/>
        <w:rPr>
          <w:sz w:val="22"/>
          <w:szCs w:val="22"/>
        </w:rPr>
      </w:pPr>
      <w:r>
        <w:rPr>
          <w:sz w:val="22"/>
          <w:szCs w:val="22"/>
        </w:rPr>
        <w:t>H</w:t>
      </w:r>
      <w:r w:rsidR="00AD3140" w:rsidRPr="00AD3140">
        <w:rPr>
          <w:sz w:val="22"/>
          <w:szCs w:val="22"/>
        </w:rPr>
        <w:t>aving specific targets and timelines, e.g. measure statins in Māori versus non-Māori</w:t>
      </w:r>
      <w:r w:rsidR="00A81042">
        <w:rPr>
          <w:sz w:val="22"/>
          <w:szCs w:val="22"/>
        </w:rPr>
        <w:t>.</w:t>
      </w:r>
      <w:r w:rsidR="00AD3140" w:rsidRPr="00AD3140">
        <w:rPr>
          <w:sz w:val="22"/>
          <w:szCs w:val="22"/>
        </w:rPr>
        <w:t xml:space="preserve"> </w:t>
      </w:r>
    </w:p>
    <w:p w14:paraId="4ABF1863" w14:textId="2EE41309" w:rsidR="00AD3140" w:rsidRPr="00AD3140" w:rsidRDefault="006A5E71" w:rsidP="006D11A9">
      <w:pPr>
        <w:pStyle w:val="HHLBodyText"/>
        <w:numPr>
          <w:ilvl w:val="0"/>
          <w:numId w:val="21"/>
        </w:numPr>
        <w:tabs>
          <w:tab w:val="left" w:pos="1134"/>
        </w:tabs>
        <w:spacing w:before="0" w:after="60"/>
        <w:ind w:left="1134" w:hanging="567"/>
        <w:rPr>
          <w:sz w:val="22"/>
          <w:szCs w:val="22"/>
        </w:rPr>
      </w:pPr>
      <w:r>
        <w:rPr>
          <w:sz w:val="22"/>
          <w:szCs w:val="22"/>
        </w:rPr>
        <w:t>E</w:t>
      </w:r>
      <w:r w:rsidR="00AD3140" w:rsidRPr="00AD3140">
        <w:rPr>
          <w:sz w:val="22"/>
          <w:szCs w:val="22"/>
        </w:rPr>
        <w:t xml:space="preserve">ncouraging enrolment of Māori patients on specific programmes such as Ministry of Health and </w:t>
      </w:r>
      <w:r>
        <w:rPr>
          <w:sz w:val="22"/>
          <w:szCs w:val="22"/>
        </w:rPr>
        <w:t>D</w:t>
      </w:r>
      <w:r w:rsidR="00AD3140" w:rsidRPr="00AD3140">
        <w:rPr>
          <w:sz w:val="22"/>
          <w:szCs w:val="22"/>
        </w:rPr>
        <w:t xml:space="preserve">istrict </w:t>
      </w:r>
      <w:r>
        <w:rPr>
          <w:sz w:val="22"/>
          <w:szCs w:val="22"/>
        </w:rPr>
        <w:t>H</w:t>
      </w:r>
      <w:r w:rsidR="00AD3140" w:rsidRPr="00AD3140">
        <w:rPr>
          <w:sz w:val="22"/>
          <w:szCs w:val="22"/>
        </w:rPr>
        <w:t xml:space="preserve">ealth </w:t>
      </w:r>
      <w:r>
        <w:rPr>
          <w:sz w:val="22"/>
          <w:szCs w:val="22"/>
        </w:rPr>
        <w:t>B</w:t>
      </w:r>
      <w:r w:rsidR="00AD3140" w:rsidRPr="00AD3140">
        <w:rPr>
          <w:sz w:val="22"/>
          <w:szCs w:val="22"/>
        </w:rPr>
        <w:t>oard programmes in chronic care management</w:t>
      </w:r>
      <w:r w:rsidR="00A81042">
        <w:rPr>
          <w:sz w:val="22"/>
          <w:szCs w:val="22"/>
        </w:rPr>
        <w:t>.</w:t>
      </w:r>
    </w:p>
    <w:p w14:paraId="20176CD4" w14:textId="3F2FEC86" w:rsidR="00AD3140" w:rsidRPr="00AD3140" w:rsidRDefault="00331D39" w:rsidP="006D11A9">
      <w:pPr>
        <w:pStyle w:val="HHLBodyText"/>
        <w:numPr>
          <w:ilvl w:val="0"/>
          <w:numId w:val="21"/>
        </w:numPr>
        <w:tabs>
          <w:tab w:val="left" w:pos="1134"/>
        </w:tabs>
        <w:spacing w:before="0" w:after="60"/>
        <w:ind w:left="1134" w:hanging="567"/>
        <w:rPr>
          <w:sz w:val="22"/>
          <w:szCs w:val="22"/>
        </w:rPr>
      </w:pPr>
      <w:r>
        <w:rPr>
          <w:sz w:val="22"/>
          <w:szCs w:val="22"/>
        </w:rPr>
        <w:t>I</w:t>
      </w:r>
      <w:r w:rsidR="00AD3140" w:rsidRPr="00AD3140">
        <w:rPr>
          <w:sz w:val="22"/>
          <w:szCs w:val="22"/>
        </w:rPr>
        <w:t>dentifying any barriers for Māori to access the practice services and addressing these, such as the percentage of Māori enrolled with the practice versus the percentage residing in the practice catchment area.</w:t>
      </w:r>
    </w:p>
    <w:p w14:paraId="3DB6B2D8" w14:textId="77777777" w:rsidR="00AD3140" w:rsidRPr="00AD3140" w:rsidRDefault="00AD3140" w:rsidP="00CF6D7D">
      <w:pPr>
        <w:pStyle w:val="HHLBodyText"/>
        <w:spacing w:after="60"/>
        <w:rPr>
          <w:sz w:val="22"/>
          <w:szCs w:val="22"/>
        </w:rPr>
      </w:pPr>
      <w:r w:rsidRPr="00AD3140">
        <w:rPr>
          <w:sz w:val="22"/>
          <w:szCs w:val="22"/>
        </w:rPr>
        <w:t xml:space="preserve">It is recommended the Plan include: </w:t>
      </w:r>
    </w:p>
    <w:p w14:paraId="24F7DA4B" w14:textId="64593AD1" w:rsidR="00AD3140" w:rsidRPr="00A81042" w:rsidRDefault="00B442DB" w:rsidP="006D11A9">
      <w:pPr>
        <w:pStyle w:val="Bullets"/>
        <w:ind w:left="567" w:hanging="567"/>
        <w:rPr>
          <w:rFonts w:ascii="Arial" w:hAnsi="Arial" w:cs="Arial"/>
          <w:szCs w:val="22"/>
        </w:rPr>
      </w:pPr>
      <w:r w:rsidRPr="00A81042">
        <w:rPr>
          <w:rFonts w:ascii="Arial" w:hAnsi="Arial" w:cs="Arial"/>
          <w:szCs w:val="22"/>
        </w:rPr>
        <w:t>T</w:t>
      </w:r>
      <w:r w:rsidR="00AD3140" w:rsidRPr="00A81042">
        <w:rPr>
          <w:rFonts w:ascii="Arial" w:hAnsi="Arial" w:cs="Arial"/>
          <w:szCs w:val="22"/>
        </w:rPr>
        <w:t>he percentage of Māori enrolled with the practice</w:t>
      </w:r>
    </w:p>
    <w:p w14:paraId="537E3035" w14:textId="4E324615" w:rsidR="00AD3140" w:rsidRPr="00A81042" w:rsidRDefault="00B442DB" w:rsidP="006D11A9">
      <w:pPr>
        <w:pStyle w:val="Bullets"/>
        <w:ind w:left="567" w:hanging="567"/>
        <w:rPr>
          <w:rFonts w:ascii="Arial" w:hAnsi="Arial" w:cs="Arial"/>
          <w:szCs w:val="22"/>
        </w:rPr>
      </w:pPr>
      <w:r w:rsidRPr="00A81042">
        <w:rPr>
          <w:rFonts w:ascii="Arial" w:hAnsi="Arial" w:cs="Arial"/>
          <w:szCs w:val="22"/>
        </w:rPr>
        <w:t>The h</w:t>
      </w:r>
      <w:r w:rsidR="00AD3140" w:rsidRPr="00A81042">
        <w:rPr>
          <w:rFonts w:ascii="Arial" w:hAnsi="Arial" w:cs="Arial"/>
          <w:szCs w:val="22"/>
        </w:rPr>
        <w:t>ealth status of Māori enrolled with the practice</w:t>
      </w:r>
    </w:p>
    <w:p w14:paraId="2B0C4D9A" w14:textId="79B76B84" w:rsidR="00AD3140" w:rsidRPr="00A81042" w:rsidRDefault="00B442DB" w:rsidP="006D11A9">
      <w:pPr>
        <w:pStyle w:val="Bullets"/>
        <w:ind w:left="567" w:hanging="567"/>
        <w:rPr>
          <w:rFonts w:ascii="Arial" w:hAnsi="Arial" w:cs="Arial"/>
          <w:szCs w:val="22"/>
        </w:rPr>
      </w:pPr>
      <w:r w:rsidRPr="00A81042">
        <w:rPr>
          <w:rFonts w:ascii="Arial" w:hAnsi="Arial" w:cs="Arial"/>
          <w:szCs w:val="22"/>
        </w:rPr>
        <w:t>K</w:t>
      </w:r>
      <w:r w:rsidR="00AD3140" w:rsidRPr="00A81042">
        <w:rPr>
          <w:rFonts w:ascii="Arial" w:hAnsi="Arial" w:cs="Arial"/>
          <w:szCs w:val="22"/>
        </w:rPr>
        <w:t>ey linkages (local, regional and national)</w:t>
      </w:r>
    </w:p>
    <w:p w14:paraId="1209D973" w14:textId="0CA4A9A2" w:rsidR="00AD3140" w:rsidRPr="00A81042" w:rsidRDefault="00B442DB" w:rsidP="006D11A9">
      <w:pPr>
        <w:pStyle w:val="Bullets"/>
        <w:ind w:left="567" w:hanging="567"/>
        <w:rPr>
          <w:rFonts w:ascii="Arial" w:hAnsi="Arial" w:cs="Arial"/>
          <w:szCs w:val="22"/>
        </w:rPr>
      </w:pPr>
      <w:r w:rsidRPr="00A81042">
        <w:rPr>
          <w:rFonts w:ascii="Arial" w:hAnsi="Arial" w:cs="Arial"/>
          <w:szCs w:val="22"/>
        </w:rPr>
        <w:t>S</w:t>
      </w:r>
      <w:r w:rsidR="00AD3140" w:rsidRPr="00A81042">
        <w:rPr>
          <w:rFonts w:ascii="Arial" w:hAnsi="Arial" w:cs="Arial"/>
          <w:szCs w:val="22"/>
        </w:rPr>
        <w:t>trategies (both short and long term)</w:t>
      </w:r>
    </w:p>
    <w:p w14:paraId="5667E672" w14:textId="240C56F0" w:rsidR="00B442DB" w:rsidRPr="00A81042" w:rsidRDefault="00B442DB" w:rsidP="006D11A9">
      <w:pPr>
        <w:pStyle w:val="Bullets"/>
        <w:ind w:left="567" w:hanging="567"/>
        <w:rPr>
          <w:rFonts w:ascii="Arial" w:hAnsi="Arial" w:cs="Arial"/>
          <w:szCs w:val="22"/>
        </w:rPr>
      </w:pPr>
      <w:r w:rsidRPr="00A81042">
        <w:rPr>
          <w:rFonts w:ascii="Arial" w:hAnsi="Arial" w:cs="Arial"/>
          <w:szCs w:val="22"/>
        </w:rPr>
        <w:t>How progress will be monitored and evaluated</w:t>
      </w:r>
    </w:p>
    <w:p w14:paraId="2B317258" w14:textId="1C733CE5" w:rsidR="00997BE9" w:rsidRDefault="00997BE9" w:rsidP="00997BE9">
      <w:pPr>
        <w:pStyle w:val="HHLBodyText"/>
        <w:spacing w:after="60"/>
        <w:rPr>
          <w:sz w:val="22"/>
          <w:szCs w:val="22"/>
        </w:rPr>
      </w:pPr>
      <w:r>
        <w:rPr>
          <w:sz w:val="22"/>
          <w:szCs w:val="22"/>
        </w:rPr>
        <w:t>The p</w:t>
      </w:r>
      <w:r w:rsidR="008838DA">
        <w:rPr>
          <w:sz w:val="22"/>
          <w:szCs w:val="22"/>
        </w:rPr>
        <w:t>l</w:t>
      </w:r>
      <w:r>
        <w:rPr>
          <w:sz w:val="22"/>
          <w:szCs w:val="22"/>
        </w:rPr>
        <w:t>an should be updated annually.</w:t>
      </w:r>
    </w:p>
    <w:p w14:paraId="02FA9438" w14:textId="77777777" w:rsidR="00E55145" w:rsidRPr="00030420" w:rsidRDefault="00E55145" w:rsidP="00E55145">
      <w:pPr>
        <w:spacing w:before="240"/>
        <w:rPr>
          <w:i/>
          <w:color w:val="auto"/>
          <w:sz w:val="24"/>
        </w:rPr>
      </w:pPr>
      <w:r w:rsidRPr="00030420">
        <w:rPr>
          <w:i/>
          <w:color w:val="auto"/>
          <w:sz w:val="24"/>
        </w:rPr>
        <w:t>Te Tiriti o Waitangi / The Treaty of Waitangi</w:t>
      </w:r>
    </w:p>
    <w:p w14:paraId="6214E82E" w14:textId="77777777" w:rsidR="00E55145" w:rsidRPr="00AD3140" w:rsidRDefault="00E55145" w:rsidP="00E55145">
      <w:pPr>
        <w:rPr>
          <w:color w:val="auto"/>
          <w:sz w:val="22"/>
          <w:szCs w:val="22"/>
        </w:rPr>
      </w:pPr>
      <w:r w:rsidRPr="00AD3140">
        <w:rPr>
          <w:color w:val="auto"/>
          <w:sz w:val="22"/>
          <w:szCs w:val="22"/>
        </w:rPr>
        <w:t>Te Tiriti o Waitangi is New Zealand’s founding document and forms part of New Zealand’s constitutional fabric. The College acknowledges the status of the Treaty and its principles of partnership, participation and active protection.</w:t>
      </w:r>
    </w:p>
    <w:p w14:paraId="363E9DCD" w14:textId="03A764CA" w:rsidR="00AD3140" w:rsidRPr="00030420" w:rsidRDefault="00030420" w:rsidP="002B5CB4">
      <w:pPr>
        <w:spacing w:before="240" w:after="120"/>
        <w:rPr>
          <w:i/>
          <w:color w:val="auto"/>
          <w:sz w:val="24"/>
        </w:rPr>
      </w:pPr>
      <w:r>
        <w:rPr>
          <w:i/>
          <w:color w:val="auto"/>
          <w:sz w:val="24"/>
        </w:rPr>
        <w:t>Rongo</w:t>
      </w:r>
      <w:r>
        <w:rPr>
          <w:rFonts w:cs="Arial"/>
          <w:i/>
          <w:color w:val="auto"/>
          <w:sz w:val="24"/>
        </w:rPr>
        <w:t>ā</w:t>
      </w:r>
      <w:r>
        <w:rPr>
          <w:i/>
          <w:color w:val="auto"/>
          <w:sz w:val="24"/>
        </w:rPr>
        <w:t xml:space="preserve"> M</w:t>
      </w:r>
      <w:r>
        <w:rPr>
          <w:rFonts w:cs="Arial"/>
          <w:i/>
          <w:color w:val="auto"/>
          <w:sz w:val="24"/>
        </w:rPr>
        <w:t>ā</w:t>
      </w:r>
      <w:r>
        <w:rPr>
          <w:i/>
          <w:color w:val="auto"/>
          <w:sz w:val="24"/>
        </w:rPr>
        <w:t xml:space="preserve">ori / Traditional </w:t>
      </w:r>
      <w:r w:rsidR="00D356FC" w:rsidRPr="00030420">
        <w:rPr>
          <w:i/>
          <w:color w:val="auto"/>
          <w:sz w:val="24"/>
        </w:rPr>
        <w:t xml:space="preserve">Māori </w:t>
      </w:r>
      <w:r w:rsidR="001213D6" w:rsidRPr="00030420">
        <w:rPr>
          <w:i/>
          <w:color w:val="auto"/>
          <w:sz w:val="24"/>
        </w:rPr>
        <w:t>methods of healing</w:t>
      </w:r>
    </w:p>
    <w:p w14:paraId="539C5983" w14:textId="20BDCA73" w:rsidR="00030420" w:rsidRPr="00030420" w:rsidRDefault="00030420" w:rsidP="002B5CB4">
      <w:pPr>
        <w:pStyle w:val="HHLBodyText"/>
        <w:spacing w:before="0"/>
        <w:rPr>
          <w:sz w:val="22"/>
          <w:szCs w:val="22"/>
        </w:rPr>
      </w:pPr>
      <w:r w:rsidRPr="00030420">
        <w:rPr>
          <w:sz w:val="22"/>
          <w:szCs w:val="22"/>
        </w:rPr>
        <w:t xml:space="preserve">The Ministry of Health has, in </w:t>
      </w:r>
      <w:r w:rsidR="00C80464" w:rsidRPr="00030420">
        <w:rPr>
          <w:sz w:val="22"/>
          <w:szCs w:val="22"/>
        </w:rPr>
        <w:t>collaboration</w:t>
      </w:r>
      <w:r w:rsidRPr="00030420">
        <w:rPr>
          <w:sz w:val="22"/>
          <w:szCs w:val="22"/>
        </w:rPr>
        <w:t xml:space="preserve"> with representatives from the rongoā sector, developed a voluntary standard that provides clear requirements for providers that defines a benchmark of excellence to deliver safe and quality rongoā services.</w:t>
      </w:r>
    </w:p>
    <w:p w14:paraId="655AA15A" w14:textId="6CDB5E73" w:rsidR="00AD3140" w:rsidRPr="00030420" w:rsidRDefault="00030420" w:rsidP="00030420">
      <w:pPr>
        <w:pStyle w:val="HHLBodyText"/>
        <w:spacing w:before="240"/>
        <w:rPr>
          <w:sz w:val="22"/>
          <w:szCs w:val="22"/>
        </w:rPr>
      </w:pPr>
      <w:r w:rsidRPr="00030420">
        <w:rPr>
          <w:sz w:val="22"/>
          <w:szCs w:val="22"/>
        </w:rPr>
        <w:t>It encourages and supports consistency of quality rongoā care and the ongoing development of the rongoā workforce. Guidance is provided in separate toolkits on how these requirements can be achieved.</w:t>
      </w:r>
    </w:p>
    <w:p w14:paraId="5CA76774" w14:textId="77777777" w:rsidR="00504B37" w:rsidRPr="00454824" w:rsidRDefault="00504B37" w:rsidP="00504B37">
      <w:pPr>
        <w:spacing w:before="240" w:after="120"/>
        <w:rPr>
          <w:rFonts w:cs="Arial"/>
          <w:b/>
          <w:color w:val="auto"/>
          <w:sz w:val="22"/>
          <w:szCs w:val="22"/>
        </w:rPr>
      </w:pPr>
      <w:r w:rsidRPr="00356116">
        <w:rPr>
          <w:b/>
          <w:color w:val="auto"/>
          <w:sz w:val="22"/>
          <w:szCs w:val="22"/>
        </w:rPr>
        <w:t>Resources</w:t>
      </w:r>
    </w:p>
    <w:p w14:paraId="27235C29" w14:textId="77777777" w:rsidR="00422D1F" w:rsidRPr="0024030C" w:rsidRDefault="00422D1F" w:rsidP="0024030C">
      <w:pPr>
        <w:pStyle w:val="Resourcelist"/>
        <w:spacing w:after="120"/>
        <w:rPr>
          <w:rStyle w:val="Hyperlink"/>
          <w:rFonts w:ascii="Arial" w:hAnsi="Arial" w:cs="Arial"/>
          <w:color w:val="0000FF"/>
        </w:rPr>
      </w:pPr>
      <w:r w:rsidRPr="0024030C">
        <w:rPr>
          <w:rStyle w:val="Hyperlink"/>
          <w:rFonts w:ascii="Arial" w:hAnsi="Arial" w:cs="Arial"/>
          <w:color w:val="0000FF"/>
        </w:rPr>
        <w:t>Ministry of Health: Māori Health</w:t>
      </w:r>
    </w:p>
    <w:p w14:paraId="1293565B" w14:textId="77777777" w:rsidR="00422D1F" w:rsidRPr="0024030C" w:rsidRDefault="00422D1F" w:rsidP="0024030C">
      <w:pPr>
        <w:pStyle w:val="Resourcelist"/>
        <w:spacing w:after="120"/>
        <w:rPr>
          <w:rStyle w:val="Hyperlink"/>
          <w:rFonts w:ascii="Arial" w:hAnsi="Arial" w:cs="Arial"/>
          <w:color w:val="0000FF"/>
        </w:rPr>
      </w:pPr>
      <w:r w:rsidRPr="0024030C">
        <w:rPr>
          <w:rStyle w:val="Hyperlink"/>
          <w:rFonts w:ascii="Arial" w:hAnsi="Arial" w:cs="Arial"/>
          <w:color w:val="0000FF"/>
        </w:rPr>
        <w:t xml:space="preserve">Ministry of Health: He Korowai Oranga: Māori Health Strategy </w:t>
      </w:r>
    </w:p>
    <w:p w14:paraId="45E99E48" w14:textId="653B41D0" w:rsidR="00422D1F" w:rsidRPr="0024030C" w:rsidRDefault="00CF1416" w:rsidP="0024030C">
      <w:pPr>
        <w:pStyle w:val="Resourcelist"/>
        <w:spacing w:after="120"/>
        <w:rPr>
          <w:rStyle w:val="Hyperlink"/>
          <w:color w:val="0000FF"/>
        </w:rPr>
      </w:pPr>
      <w:hyperlink r:id="rId54" w:history="1">
        <w:r w:rsidR="00422D1F" w:rsidRPr="0024030C">
          <w:rPr>
            <w:rStyle w:val="Hyperlink"/>
            <w:rFonts w:ascii="Arial" w:hAnsi="Arial" w:cs="Arial"/>
            <w:color w:val="0000FF"/>
          </w:rPr>
          <w:t>RNZCGP Māori Health Strategy: He Ihu waka, he ihu whenua, he ihu tangatai</w:t>
        </w:r>
      </w:hyperlink>
    </w:p>
    <w:p w14:paraId="3DB9FDFC" w14:textId="77777777" w:rsidR="00422D1F" w:rsidRPr="0024030C" w:rsidRDefault="00CF1416" w:rsidP="0024030C">
      <w:pPr>
        <w:pStyle w:val="Resourcelist"/>
        <w:spacing w:after="120"/>
        <w:rPr>
          <w:rStyle w:val="Hyperlink"/>
          <w:rFonts w:ascii="Arial" w:hAnsi="Arial" w:cs="Arial"/>
          <w:color w:val="0000FF"/>
        </w:rPr>
      </w:pPr>
      <w:hyperlink r:id="rId55" w:history="1">
        <w:r w:rsidR="00422D1F" w:rsidRPr="0024030C">
          <w:rPr>
            <w:rStyle w:val="Hyperlink"/>
            <w:rFonts w:ascii="Arial" w:hAnsi="Arial" w:cs="Arial"/>
            <w:color w:val="0000FF"/>
          </w:rPr>
          <w:t>MCNZ: Best health outcomes for Māori: practice implications</w:t>
        </w:r>
      </w:hyperlink>
    </w:p>
    <w:p w14:paraId="3136AF13" w14:textId="067BF46E" w:rsidR="00302975" w:rsidRPr="0024030C" w:rsidRDefault="00CF1416" w:rsidP="0024030C">
      <w:pPr>
        <w:pStyle w:val="Resourcelist"/>
        <w:spacing w:after="120"/>
        <w:rPr>
          <w:rStyle w:val="Hyperlink"/>
          <w:color w:val="0000FF"/>
        </w:rPr>
      </w:pPr>
      <w:hyperlink r:id="rId56" w:history="1">
        <w:r w:rsidR="00AB661B" w:rsidRPr="0024030C">
          <w:rPr>
            <w:rStyle w:val="Hyperlink"/>
            <w:rFonts w:ascii="Arial" w:hAnsi="Arial" w:cs="Arial"/>
            <w:color w:val="0000FF"/>
          </w:rPr>
          <w:t>Te Taura Whiri i te Reo Māori/</w:t>
        </w:r>
        <w:r w:rsidR="00030420" w:rsidRPr="0024030C">
          <w:rPr>
            <w:rStyle w:val="Hyperlink"/>
            <w:rFonts w:ascii="Arial" w:hAnsi="Arial" w:cs="Arial"/>
            <w:color w:val="0000FF"/>
          </w:rPr>
          <w:t>Māori Language Commission</w:t>
        </w:r>
      </w:hyperlink>
      <w:r w:rsidR="00030420" w:rsidRPr="0024030C">
        <w:rPr>
          <w:rStyle w:val="Hyperlink"/>
          <w:color w:val="0000FF"/>
        </w:rPr>
        <w:t xml:space="preserve"> </w:t>
      </w:r>
    </w:p>
    <w:p w14:paraId="0C0598C6" w14:textId="73AE4EE3" w:rsidR="005C58A3" w:rsidRPr="0024030C" w:rsidRDefault="00CF1416" w:rsidP="0024030C">
      <w:pPr>
        <w:pStyle w:val="Resourcelist"/>
        <w:spacing w:after="120"/>
        <w:rPr>
          <w:rStyle w:val="Hyperlink"/>
          <w:color w:val="0000FF"/>
        </w:rPr>
      </w:pPr>
      <w:hyperlink r:id="rId57" w:history="1">
        <w:r w:rsidR="005C58A3" w:rsidRPr="0024030C">
          <w:rPr>
            <w:rStyle w:val="Hyperlink"/>
            <w:rFonts w:ascii="Arial" w:hAnsi="Arial" w:cs="Arial"/>
            <w:color w:val="0000FF"/>
          </w:rPr>
          <w:t>Ministry of Health</w:t>
        </w:r>
        <w:r w:rsidR="00422D1F" w:rsidRPr="0024030C">
          <w:rPr>
            <w:rStyle w:val="Hyperlink"/>
            <w:rFonts w:ascii="Arial" w:hAnsi="Arial" w:cs="Arial"/>
            <w:color w:val="0000FF"/>
          </w:rPr>
          <w:t>:</w:t>
        </w:r>
        <w:r w:rsidR="005C58A3" w:rsidRPr="0024030C">
          <w:rPr>
            <w:rStyle w:val="Hyperlink"/>
            <w:rFonts w:ascii="Arial" w:hAnsi="Arial" w:cs="Arial"/>
            <w:color w:val="0000FF"/>
          </w:rPr>
          <w:t xml:space="preserve"> Rongoā Māori / Traditional Māori methods of healing</w:t>
        </w:r>
      </w:hyperlink>
    </w:p>
    <w:p w14:paraId="52B3E0AF" w14:textId="2D03D12A" w:rsidR="00302975" w:rsidRPr="00D44AD4" w:rsidRDefault="00CF1416" w:rsidP="00422D1F">
      <w:pPr>
        <w:pStyle w:val="Resourcelist"/>
        <w:spacing w:after="60"/>
        <w:ind w:left="288"/>
        <w:rPr>
          <w:rStyle w:val="Hyperlink"/>
          <w:rFonts w:ascii="Arial" w:hAnsi="Arial" w:cs="Arial"/>
          <w:color w:val="0000FF"/>
          <w:u w:val="none"/>
        </w:rPr>
      </w:pPr>
      <w:hyperlink r:id="rId58" w:history="1"/>
      <w:r w:rsidR="005C58A3" w:rsidRPr="00D44AD4">
        <w:rPr>
          <w:rStyle w:val="Hyperlink"/>
          <w:rFonts w:ascii="Arial" w:hAnsi="Arial" w:cs="Arial"/>
          <w:color w:val="0000FF"/>
          <w:u w:val="none"/>
        </w:rPr>
        <w:t xml:space="preserve"> </w:t>
      </w:r>
    </w:p>
    <w:p w14:paraId="16059DD1" w14:textId="4C05AA7C" w:rsidR="000221AF" w:rsidRPr="00030420" w:rsidRDefault="0075327D" w:rsidP="00DA421C">
      <w:pPr>
        <w:pStyle w:val="Resourcelist"/>
        <w:spacing w:after="60"/>
        <w:ind w:left="576"/>
        <w:rPr>
          <w:color w:val="auto"/>
        </w:rPr>
      </w:pPr>
      <w:r w:rsidRPr="00030420">
        <w:rPr>
          <w:color w:val="auto"/>
        </w:rPr>
        <w:br w:type="page"/>
      </w:r>
    </w:p>
    <w:p w14:paraId="4055236A" w14:textId="77777777" w:rsidR="00DE3B66" w:rsidRDefault="00DE3B66" w:rsidP="00504B37">
      <w:pPr>
        <w:pStyle w:val="Heading1"/>
      </w:pPr>
    </w:p>
    <w:p w14:paraId="325E77CD" w14:textId="77777777" w:rsidR="00DE3B66" w:rsidRDefault="00DE3B66" w:rsidP="00504B37">
      <w:pPr>
        <w:pStyle w:val="Heading1"/>
      </w:pPr>
    </w:p>
    <w:p w14:paraId="008EB68E" w14:textId="77777777" w:rsidR="00DE3B66" w:rsidRDefault="00DE3B66" w:rsidP="00504B37">
      <w:pPr>
        <w:pStyle w:val="Heading1"/>
      </w:pPr>
    </w:p>
    <w:p w14:paraId="175C54C4" w14:textId="77777777" w:rsidR="00DE3B66" w:rsidRDefault="00DE3B66" w:rsidP="00504B37">
      <w:pPr>
        <w:pStyle w:val="Heading1"/>
      </w:pPr>
    </w:p>
    <w:p w14:paraId="668ED804" w14:textId="77777777" w:rsidR="00DE3B66" w:rsidRDefault="00DE3B66" w:rsidP="00504B37">
      <w:pPr>
        <w:pStyle w:val="Heading1"/>
      </w:pPr>
    </w:p>
    <w:p w14:paraId="17386E09" w14:textId="77777777" w:rsidR="00DE3B66" w:rsidRDefault="00DE3B66" w:rsidP="00504B37">
      <w:pPr>
        <w:pStyle w:val="Heading1"/>
      </w:pPr>
    </w:p>
    <w:p w14:paraId="7B1D303A" w14:textId="77777777" w:rsidR="00DE3B66" w:rsidRDefault="00DE3B66" w:rsidP="00504B37">
      <w:pPr>
        <w:pStyle w:val="Heading1"/>
      </w:pPr>
    </w:p>
    <w:p w14:paraId="3242B90A" w14:textId="77777777" w:rsidR="00DE3B66" w:rsidRDefault="00DE3B66" w:rsidP="00504B37">
      <w:pPr>
        <w:pStyle w:val="Heading1"/>
      </w:pPr>
    </w:p>
    <w:p w14:paraId="4C5359DE" w14:textId="77777777" w:rsidR="00DE3B66" w:rsidRDefault="00DE3B66" w:rsidP="00504B37">
      <w:pPr>
        <w:pStyle w:val="Heading1"/>
      </w:pPr>
    </w:p>
    <w:p w14:paraId="30CDB055" w14:textId="77777777" w:rsidR="00DE3B66" w:rsidRDefault="00DE3B66" w:rsidP="00504B37">
      <w:pPr>
        <w:pStyle w:val="Heading1"/>
      </w:pPr>
    </w:p>
    <w:p w14:paraId="4939540B" w14:textId="5DF281D9" w:rsidR="00504B37" w:rsidRDefault="00504B37" w:rsidP="00504B37">
      <w:pPr>
        <w:pStyle w:val="Heading1"/>
        <w:rPr>
          <w:b w:val="0"/>
        </w:rPr>
      </w:pPr>
      <w:bookmarkStart w:id="41" w:name="_Toc6998665"/>
      <w:r w:rsidRPr="000C6773">
        <w:t>Section</w:t>
      </w:r>
      <w:r w:rsidRPr="0055408F">
        <w:t xml:space="preserve"> </w:t>
      </w:r>
      <w:r>
        <w:t xml:space="preserve">5: Tikanga </w:t>
      </w:r>
      <w:r w:rsidR="00F2598B">
        <w:t>ahurea</w:t>
      </w:r>
      <w:r w:rsidRPr="0055408F">
        <w:rPr>
          <w:b w:val="0"/>
        </w:rPr>
        <w:t xml:space="preserve"> | </w:t>
      </w:r>
      <w:r w:rsidR="00F2598B">
        <w:rPr>
          <w:b w:val="0"/>
        </w:rPr>
        <w:t>Population diversity</w:t>
      </w:r>
      <w:bookmarkEnd w:id="41"/>
    </w:p>
    <w:p w14:paraId="150D1258" w14:textId="77777777" w:rsidR="000221AF" w:rsidRDefault="000221AF">
      <w:pPr>
        <w:spacing w:after="0"/>
      </w:pPr>
      <w:r>
        <w:br w:type="page"/>
      </w:r>
    </w:p>
    <w:p w14:paraId="1B81768D" w14:textId="6215525B" w:rsidR="00586837" w:rsidRDefault="009D07A3" w:rsidP="006D11A9">
      <w:pPr>
        <w:pStyle w:val="HHLSubHeading"/>
        <w:numPr>
          <w:ilvl w:val="0"/>
          <w:numId w:val="0"/>
        </w:numPr>
        <w:tabs>
          <w:tab w:val="left" w:pos="1560"/>
        </w:tabs>
      </w:pPr>
      <w:bookmarkStart w:id="42" w:name="_Toc6998666"/>
      <w:r w:rsidRPr="00902640">
        <w:lastRenderedPageBreak/>
        <w:t xml:space="preserve">Indicator </w:t>
      </w:r>
      <w:r>
        <w:t>9</w:t>
      </w:r>
      <w:r w:rsidRPr="00902640">
        <w:t>.</w:t>
      </w:r>
      <w:r>
        <w:t xml:space="preserve"> </w:t>
      </w:r>
      <w:r w:rsidR="006D11A9">
        <w:tab/>
      </w:r>
      <w:r w:rsidR="002D3694">
        <w:t>Responsiveness</w:t>
      </w:r>
      <w:r w:rsidR="00632408">
        <w:t xml:space="preserve"> to diversity</w:t>
      </w:r>
      <w:bookmarkEnd w:id="42"/>
    </w:p>
    <w:p w14:paraId="2503376F" w14:textId="43C945A4" w:rsidR="008B656A" w:rsidRPr="00586837" w:rsidRDefault="008B656A" w:rsidP="00586837">
      <w:pPr>
        <w:pStyle w:val="HHLBodyText"/>
        <w:rPr>
          <w:b/>
        </w:rPr>
      </w:pPr>
      <w:r w:rsidRPr="00586837">
        <w:rPr>
          <w:b/>
        </w:rPr>
        <w:t>Our practice identifies the diverse groups in our enrolled and geographic population and offers services that are responsive to their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38"/>
        <w:gridCol w:w="4053"/>
      </w:tblGrid>
      <w:tr w:rsidR="009D07A3" w:rsidRPr="002E71B3" w14:paraId="0AE41088" w14:textId="77777777" w:rsidTr="009F652F">
        <w:tc>
          <w:tcPr>
            <w:tcW w:w="1153" w:type="dxa"/>
            <w:shd w:val="clear" w:color="auto" w:fill="FBD4B4" w:themeFill="accent6" w:themeFillTint="66"/>
          </w:tcPr>
          <w:p w14:paraId="740EFA05" w14:textId="77777777" w:rsidR="009D07A3" w:rsidRPr="002E71B3" w:rsidRDefault="009D07A3" w:rsidP="008C2DB7">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7D9A96F6" w14:textId="77777777" w:rsidR="009D07A3" w:rsidRPr="002E71B3" w:rsidRDefault="009D07A3" w:rsidP="008C2DB7">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2E9E5307" w14:textId="4B8FDA10" w:rsidR="009D07A3" w:rsidRPr="002E71B3" w:rsidRDefault="009D07A3" w:rsidP="008C2DB7">
            <w:pPr>
              <w:spacing w:before="120" w:after="120"/>
              <w:rPr>
                <w:b/>
                <w:color w:val="auto"/>
                <w:sz w:val="22"/>
                <w:szCs w:val="22"/>
              </w:rPr>
            </w:pPr>
            <w:r w:rsidRPr="002E71B3">
              <w:rPr>
                <w:b/>
                <w:color w:val="auto"/>
                <w:sz w:val="22"/>
                <w:szCs w:val="22"/>
              </w:rPr>
              <w:t>Required evidence</w:t>
            </w:r>
          </w:p>
        </w:tc>
      </w:tr>
      <w:tr w:rsidR="00E43556" w:rsidRPr="002E71B3" w14:paraId="44497D4E" w14:textId="77777777" w:rsidTr="009F652F">
        <w:tc>
          <w:tcPr>
            <w:tcW w:w="1153" w:type="dxa"/>
          </w:tcPr>
          <w:p w14:paraId="6A5AF4D7" w14:textId="53E3820B" w:rsidR="00E43556" w:rsidRPr="000F513E" w:rsidRDefault="00E43556" w:rsidP="007F265B">
            <w:pPr>
              <w:spacing w:before="60"/>
              <w:rPr>
                <w:color w:val="auto"/>
                <w:sz w:val="22"/>
                <w:szCs w:val="22"/>
              </w:rPr>
            </w:pPr>
            <w:r>
              <w:rPr>
                <w:color w:val="auto"/>
                <w:sz w:val="22"/>
                <w:szCs w:val="22"/>
              </w:rPr>
              <w:t>9</w:t>
            </w:r>
            <w:r w:rsidRPr="000F513E">
              <w:rPr>
                <w:color w:val="auto"/>
                <w:sz w:val="22"/>
                <w:szCs w:val="22"/>
              </w:rPr>
              <w:t>.1</w:t>
            </w:r>
          </w:p>
        </w:tc>
        <w:tc>
          <w:tcPr>
            <w:tcW w:w="4568" w:type="dxa"/>
          </w:tcPr>
          <w:p w14:paraId="61613707" w14:textId="30D46D1D" w:rsidR="00E43556" w:rsidRPr="00732DCB" w:rsidRDefault="00E43556" w:rsidP="007F265B">
            <w:pPr>
              <w:spacing w:before="60"/>
              <w:rPr>
                <w:rFonts w:cs="Arial"/>
                <w:color w:val="auto"/>
                <w:sz w:val="22"/>
                <w:szCs w:val="22"/>
              </w:rPr>
            </w:pPr>
            <w:r w:rsidRPr="00732DCB">
              <w:rPr>
                <w:rFonts w:cs="Arial"/>
                <w:color w:val="auto"/>
                <w:sz w:val="22"/>
                <w:szCs w:val="22"/>
              </w:rPr>
              <w:t xml:space="preserve">Have knowledge of the diverse groups within your enrolled </w:t>
            </w:r>
            <w:r>
              <w:rPr>
                <w:rFonts w:cs="Arial"/>
                <w:color w:val="auto"/>
                <w:sz w:val="22"/>
                <w:szCs w:val="22"/>
              </w:rPr>
              <w:t xml:space="preserve">and geographic </w:t>
            </w:r>
            <w:r w:rsidRPr="00732DCB">
              <w:rPr>
                <w:rFonts w:cs="Arial"/>
                <w:color w:val="auto"/>
                <w:sz w:val="22"/>
                <w:szCs w:val="22"/>
              </w:rPr>
              <w:t>population</w:t>
            </w:r>
            <w:r>
              <w:rPr>
                <w:rFonts w:cs="Arial"/>
                <w:color w:val="auto"/>
                <w:sz w:val="22"/>
                <w:szCs w:val="22"/>
              </w:rPr>
              <w:t>s and plan and provide for their health care needs.</w:t>
            </w:r>
          </w:p>
        </w:tc>
        <w:tc>
          <w:tcPr>
            <w:tcW w:w="4075" w:type="dxa"/>
            <w:vAlign w:val="center"/>
          </w:tcPr>
          <w:p w14:paraId="4E7A2E5A" w14:textId="6AC86AD0" w:rsidR="00E43556" w:rsidRPr="003D2A73" w:rsidRDefault="00E43556" w:rsidP="003D2A73">
            <w:pPr>
              <w:spacing w:before="60"/>
              <w:ind w:left="16"/>
              <w:rPr>
                <w:rFonts w:cs="Arial"/>
                <w:color w:val="auto"/>
                <w:sz w:val="22"/>
                <w:szCs w:val="22"/>
              </w:rPr>
            </w:pPr>
            <w:r w:rsidRPr="003D2A73">
              <w:rPr>
                <w:rFonts w:cs="Arial"/>
                <w:color w:val="auto"/>
                <w:sz w:val="22"/>
                <w:szCs w:val="22"/>
              </w:rPr>
              <w:t>Collated data and information on diverse groups within your enrolled and geographic populations</w:t>
            </w:r>
            <w:r w:rsidR="009A7BD2" w:rsidRPr="003D2A73">
              <w:rPr>
                <w:rFonts w:cs="Arial"/>
                <w:color w:val="auto"/>
                <w:sz w:val="22"/>
                <w:szCs w:val="22"/>
              </w:rPr>
              <w:t xml:space="preserve"> and </w:t>
            </w:r>
            <w:r w:rsidR="00E57227" w:rsidRPr="003D2A73">
              <w:rPr>
                <w:rFonts w:cs="Arial"/>
                <w:color w:val="auto"/>
                <w:sz w:val="22"/>
                <w:szCs w:val="22"/>
              </w:rPr>
              <w:t xml:space="preserve">demonstration of the implementation of </w:t>
            </w:r>
            <w:r w:rsidR="009A7BD2" w:rsidRPr="003D2A73">
              <w:rPr>
                <w:rFonts w:cs="Arial"/>
                <w:color w:val="auto"/>
                <w:sz w:val="22"/>
                <w:szCs w:val="22"/>
              </w:rPr>
              <w:t>a plan to provide for their health care needs</w:t>
            </w:r>
            <w:r w:rsidRPr="003D2A73">
              <w:rPr>
                <w:rFonts w:cs="Arial"/>
                <w:color w:val="auto"/>
                <w:sz w:val="22"/>
                <w:szCs w:val="22"/>
              </w:rPr>
              <w:t>.</w:t>
            </w:r>
          </w:p>
          <w:p w14:paraId="47B34ACD" w14:textId="0BCCBB3B" w:rsidR="00E43556" w:rsidRPr="00632F51" w:rsidRDefault="00E57227" w:rsidP="003D2A73">
            <w:pPr>
              <w:spacing w:before="60"/>
              <w:ind w:left="16"/>
              <w:rPr>
                <w:rFonts w:cs="Arial"/>
                <w:sz w:val="22"/>
                <w:szCs w:val="22"/>
              </w:rPr>
            </w:pPr>
            <w:r w:rsidRPr="003D2A73">
              <w:rPr>
                <w:rFonts w:cs="Arial"/>
                <w:color w:val="auto"/>
                <w:sz w:val="22"/>
                <w:szCs w:val="22"/>
              </w:rPr>
              <w:t xml:space="preserve">Examples of </w:t>
            </w:r>
            <w:r w:rsidR="00E43556" w:rsidRPr="003D2A73">
              <w:rPr>
                <w:rFonts w:cs="Arial"/>
                <w:color w:val="auto"/>
                <w:sz w:val="22"/>
                <w:szCs w:val="22"/>
              </w:rPr>
              <w:t>practice-wide initiatives to embrace diversity, inclusion and equity</w:t>
            </w:r>
            <w:r w:rsidRPr="003D2A73">
              <w:rPr>
                <w:rFonts w:cs="Arial"/>
                <w:color w:val="auto"/>
                <w:sz w:val="22"/>
                <w:szCs w:val="22"/>
              </w:rPr>
              <w:t>.</w:t>
            </w:r>
          </w:p>
        </w:tc>
      </w:tr>
    </w:tbl>
    <w:p w14:paraId="5455E77C" w14:textId="72B14999" w:rsidR="00831A94" w:rsidRDefault="00831A94" w:rsidP="00831A94">
      <w:pPr>
        <w:pStyle w:val="HHLBodyText"/>
        <w:spacing w:before="240"/>
        <w:rPr>
          <w:b/>
          <w:sz w:val="22"/>
          <w:szCs w:val="22"/>
        </w:rPr>
      </w:pPr>
      <w:r w:rsidRPr="005B2DE1">
        <w:rPr>
          <w:b/>
          <w:sz w:val="22"/>
          <w:szCs w:val="22"/>
        </w:rPr>
        <w:t>Required training</w:t>
      </w:r>
    </w:p>
    <w:p w14:paraId="689DADBF" w14:textId="77777777" w:rsidR="00E64494" w:rsidRDefault="00C97BB7" w:rsidP="00C97BB7">
      <w:pPr>
        <w:pStyle w:val="HHLBodyText"/>
        <w:spacing w:before="0"/>
        <w:rPr>
          <w:rFonts w:cs="Arial"/>
          <w:sz w:val="22"/>
          <w:szCs w:val="22"/>
        </w:rPr>
      </w:pPr>
      <w:bookmarkStart w:id="43" w:name="_Hlk4569508"/>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r>
        <w:rPr>
          <w:sz w:val="22"/>
          <w:szCs w:val="22"/>
        </w:rPr>
        <w:t>, informed by an understanding of the</w:t>
      </w:r>
      <w:r w:rsidR="00E64494">
        <w:rPr>
          <w:sz w:val="22"/>
          <w:szCs w:val="22"/>
        </w:rPr>
        <w:t xml:space="preserve"> </w:t>
      </w:r>
      <w:r w:rsidR="00E64494" w:rsidRPr="00732DCB">
        <w:rPr>
          <w:rFonts w:cs="Arial"/>
          <w:sz w:val="22"/>
          <w:szCs w:val="22"/>
        </w:rPr>
        <w:t xml:space="preserve">diverse groups within your enrolled </w:t>
      </w:r>
      <w:r w:rsidR="00E64494">
        <w:rPr>
          <w:rFonts w:cs="Arial"/>
          <w:sz w:val="22"/>
          <w:szCs w:val="22"/>
        </w:rPr>
        <w:t xml:space="preserve">and geographic </w:t>
      </w:r>
      <w:r w:rsidR="00E64494" w:rsidRPr="00732DCB">
        <w:rPr>
          <w:rFonts w:cs="Arial"/>
          <w:sz w:val="22"/>
          <w:szCs w:val="22"/>
        </w:rPr>
        <w:t>population</w:t>
      </w:r>
      <w:r w:rsidR="00E64494">
        <w:rPr>
          <w:rFonts w:cs="Arial"/>
          <w:sz w:val="22"/>
          <w:szCs w:val="22"/>
        </w:rPr>
        <w:t>s.</w:t>
      </w:r>
    </w:p>
    <w:p w14:paraId="7D817FCB" w14:textId="77777777" w:rsidR="00DE66AB" w:rsidRDefault="00DE66AB" w:rsidP="00DE66AB">
      <w:pPr>
        <w:pStyle w:val="HHLBodyText"/>
        <w:spacing w:before="240"/>
        <w:rPr>
          <w:b/>
          <w:sz w:val="22"/>
          <w:szCs w:val="22"/>
        </w:rPr>
      </w:pPr>
      <w:r w:rsidRPr="005B2DE1">
        <w:rPr>
          <w:b/>
          <w:sz w:val="22"/>
          <w:szCs w:val="22"/>
        </w:rPr>
        <w:t>Guidance notes</w:t>
      </w:r>
    </w:p>
    <w:p w14:paraId="789CDF5B" w14:textId="77777777" w:rsidR="00DE66AB" w:rsidRDefault="00DE66AB" w:rsidP="00DE66AB">
      <w:pPr>
        <w:spacing w:after="120"/>
        <w:rPr>
          <w:rFonts w:cs="Arial"/>
          <w:color w:val="auto"/>
          <w:sz w:val="22"/>
          <w:szCs w:val="22"/>
        </w:rPr>
      </w:pPr>
      <w:r w:rsidRPr="009F6E6E">
        <w:rPr>
          <w:rFonts w:cs="Arial"/>
          <w:color w:val="auto"/>
          <w:sz w:val="22"/>
          <w:szCs w:val="22"/>
        </w:rPr>
        <w:t>All members of your team should have participated in training in cultural awareness and competency, and training records for each team member should be available. Their training should include any specific cultural groups identified in your practice (e.g. a specific ethnicity, migrants, refugees</w:t>
      </w:r>
      <w:r>
        <w:rPr>
          <w:rFonts w:cs="Arial"/>
          <w:color w:val="auto"/>
          <w:sz w:val="22"/>
          <w:szCs w:val="22"/>
        </w:rPr>
        <w:t xml:space="preserve"> and </w:t>
      </w:r>
      <w:r w:rsidRPr="009F6E6E">
        <w:rPr>
          <w:rFonts w:cs="Arial"/>
          <w:color w:val="auto"/>
          <w:sz w:val="22"/>
          <w:szCs w:val="22"/>
        </w:rPr>
        <w:t xml:space="preserve">people with disabilities). </w:t>
      </w:r>
    </w:p>
    <w:p w14:paraId="630ADD99" w14:textId="77777777" w:rsidR="00DE66AB" w:rsidRPr="009F6E6E" w:rsidRDefault="00DE66AB" w:rsidP="00DE66AB">
      <w:pPr>
        <w:spacing w:after="120"/>
        <w:rPr>
          <w:rFonts w:cs="Arial"/>
          <w:color w:val="auto"/>
          <w:sz w:val="22"/>
          <w:szCs w:val="22"/>
        </w:rPr>
      </w:pPr>
      <w:r w:rsidRPr="009F6E6E">
        <w:rPr>
          <w:rFonts w:cs="Arial"/>
          <w:color w:val="auto"/>
          <w:sz w:val="22"/>
          <w:szCs w:val="22"/>
        </w:rPr>
        <w:t>Training ensures all team members are provided with accurate and consistent information to deliver culturally safe care and be responsive to the cultural needs of patients.</w:t>
      </w:r>
    </w:p>
    <w:p w14:paraId="5377EA22" w14:textId="0B9F67B3" w:rsidR="00360F09" w:rsidRDefault="00E64494" w:rsidP="00FA1512">
      <w:pPr>
        <w:pStyle w:val="HHLBodyText"/>
        <w:spacing w:before="0"/>
        <w:rPr>
          <w:rFonts w:cs="Arial"/>
          <w:sz w:val="22"/>
          <w:szCs w:val="22"/>
        </w:rPr>
      </w:pPr>
      <w:r>
        <w:rPr>
          <w:sz w:val="22"/>
          <w:szCs w:val="22"/>
        </w:rPr>
        <w:t>T</w:t>
      </w:r>
      <w:r w:rsidR="00C97BB7">
        <w:rPr>
          <w:sz w:val="22"/>
          <w:szCs w:val="22"/>
        </w:rPr>
        <w:t>raining options include:</w:t>
      </w:r>
      <w:r w:rsidR="00360F09" w:rsidRPr="009F6E6E">
        <w:rPr>
          <w:rFonts w:cs="Arial"/>
          <w:sz w:val="22"/>
          <w:szCs w:val="22"/>
        </w:rPr>
        <w:t xml:space="preserve"> </w:t>
      </w:r>
    </w:p>
    <w:bookmarkEnd w:id="43"/>
    <w:p w14:paraId="7318E2FB" w14:textId="77777777" w:rsidR="00A5472E" w:rsidRPr="00A5472E" w:rsidRDefault="00A5472E" w:rsidP="00AF609B">
      <w:pPr>
        <w:pStyle w:val="HHLBodyText"/>
        <w:spacing w:before="240"/>
        <w:rPr>
          <w:i/>
        </w:rPr>
      </w:pPr>
      <w:r w:rsidRPr="00A5472E">
        <w:rPr>
          <w:i/>
        </w:rPr>
        <w:t>CALD</w:t>
      </w:r>
    </w:p>
    <w:p w14:paraId="629ACD7C" w14:textId="6B7B673D" w:rsidR="00AA5717" w:rsidRPr="004D3412" w:rsidRDefault="00AA5717" w:rsidP="00A5472E">
      <w:pPr>
        <w:pStyle w:val="HHLBodyText"/>
        <w:rPr>
          <w:sz w:val="22"/>
          <w:szCs w:val="22"/>
        </w:rPr>
      </w:pPr>
      <w:r w:rsidRPr="004D3412">
        <w:rPr>
          <w:sz w:val="22"/>
          <w:szCs w:val="22"/>
        </w:rPr>
        <w:t>CALD stands for “culturally and linguistically diverse’ and refers to people who are migrants and refugees from Asian, Middle Eastern and African backgrounds.</w:t>
      </w:r>
    </w:p>
    <w:p w14:paraId="0EDEA4A1" w14:textId="77777777" w:rsidR="00F34B48" w:rsidRDefault="00AA5717" w:rsidP="003D6DE1">
      <w:pPr>
        <w:pStyle w:val="HHLBodyText"/>
        <w:spacing w:after="0"/>
        <w:rPr>
          <w:sz w:val="22"/>
          <w:szCs w:val="22"/>
        </w:rPr>
      </w:pPr>
      <w:r w:rsidRPr="004D3412">
        <w:rPr>
          <w:sz w:val="22"/>
          <w:szCs w:val="22"/>
        </w:rPr>
        <w:t>eCALD (an agency of the three Auckland DHBs) delivers a range of courses for practitioners who have knowledge and orientation in the New Zealand health system, and who work with CALD patients. They are available face to face in the Auckland region and online outside of the region.</w:t>
      </w:r>
      <w:r w:rsidRPr="004D3412">
        <w:rPr>
          <w:sz w:val="22"/>
          <w:szCs w:val="22"/>
        </w:rPr>
        <w:br/>
      </w:r>
    </w:p>
    <w:p w14:paraId="67CA0388" w14:textId="10CC8B04" w:rsidR="00AA5717" w:rsidRPr="00D14451" w:rsidRDefault="00CF1416" w:rsidP="006D11A9">
      <w:pPr>
        <w:pStyle w:val="HHLBodyText"/>
        <w:numPr>
          <w:ilvl w:val="0"/>
          <w:numId w:val="37"/>
        </w:numPr>
        <w:spacing w:after="0"/>
        <w:ind w:left="567" w:hanging="567"/>
        <w:rPr>
          <w:color w:val="548DD4" w:themeColor="text2" w:themeTint="99"/>
          <w:sz w:val="22"/>
          <w:szCs w:val="22"/>
        </w:rPr>
      </w:pPr>
      <w:hyperlink r:id="rId59" w:history="1">
        <w:r w:rsidR="00D14451" w:rsidRPr="00D14451">
          <w:rPr>
            <w:rStyle w:val="Hyperlink"/>
            <w:sz w:val="22"/>
            <w:szCs w:val="22"/>
          </w:rPr>
          <w:t>CALD Cultural Competency “Courses for Working with CALD”</w:t>
        </w:r>
      </w:hyperlink>
    </w:p>
    <w:p w14:paraId="5CA28CD2" w14:textId="44A620E6" w:rsidR="00A5472E" w:rsidRPr="00A5472E" w:rsidRDefault="00A5472E" w:rsidP="00AF609B">
      <w:pPr>
        <w:pStyle w:val="HHLBodyText"/>
        <w:spacing w:before="240"/>
        <w:rPr>
          <w:i/>
        </w:rPr>
      </w:pPr>
      <w:r w:rsidRPr="00A5472E">
        <w:rPr>
          <w:i/>
        </w:rPr>
        <w:t>Diversity Works NZ</w:t>
      </w:r>
    </w:p>
    <w:p w14:paraId="4BF6716A" w14:textId="3DBE1E38" w:rsidR="00AA5717" w:rsidRDefault="00AA5717" w:rsidP="006E7031">
      <w:pPr>
        <w:pStyle w:val="HHLBodyText"/>
        <w:rPr>
          <w:sz w:val="22"/>
          <w:szCs w:val="22"/>
        </w:rPr>
      </w:pPr>
      <w:r w:rsidRPr="004D3412">
        <w:rPr>
          <w:sz w:val="22"/>
          <w:szCs w:val="22"/>
        </w:rPr>
        <w:t>Diversity Works NZ is a national membership organisation, aiming to help business develop diverse and inclusive workplaces.</w:t>
      </w:r>
      <w:r w:rsidR="006E7031">
        <w:rPr>
          <w:sz w:val="22"/>
          <w:szCs w:val="22"/>
        </w:rPr>
        <w:t xml:space="preserve"> </w:t>
      </w:r>
      <w:r w:rsidRPr="004D3412">
        <w:rPr>
          <w:sz w:val="22"/>
          <w:szCs w:val="22"/>
        </w:rPr>
        <w:t>Diversity Works provides public and customi</w:t>
      </w:r>
      <w:r w:rsidR="00D477FA">
        <w:rPr>
          <w:sz w:val="22"/>
          <w:szCs w:val="22"/>
        </w:rPr>
        <w:t>s</w:t>
      </w:r>
      <w:r w:rsidRPr="004D3412">
        <w:rPr>
          <w:sz w:val="22"/>
          <w:szCs w:val="22"/>
        </w:rPr>
        <w:t xml:space="preserve">ed training in a range of diversity </w:t>
      </w:r>
      <w:r w:rsidRPr="008A6F48">
        <w:rPr>
          <w:sz w:val="22"/>
          <w:szCs w:val="22"/>
        </w:rPr>
        <w:t>respect and inclusion related areas.</w:t>
      </w:r>
    </w:p>
    <w:p w14:paraId="419A12BA" w14:textId="645FCC24" w:rsidR="00943760" w:rsidRPr="00943760" w:rsidRDefault="00CF1416" w:rsidP="006D11A9">
      <w:pPr>
        <w:pStyle w:val="HHLBodyText"/>
        <w:numPr>
          <w:ilvl w:val="0"/>
          <w:numId w:val="37"/>
        </w:numPr>
        <w:spacing w:after="0"/>
        <w:ind w:left="567" w:hanging="567"/>
        <w:rPr>
          <w:rStyle w:val="Hyperlink"/>
        </w:rPr>
      </w:pPr>
      <w:hyperlink r:id="rId60" w:history="1">
        <w:r w:rsidR="00943760" w:rsidRPr="00943760">
          <w:rPr>
            <w:rStyle w:val="Hyperlink"/>
            <w:sz w:val="22"/>
            <w:szCs w:val="22"/>
          </w:rPr>
          <w:t>Diversity works</w:t>
        </w:r>
      </w:hyperlink>
    </w:p>
    <w:p w14:paraId="1F60B5DB" w14:textId="78EAD60C" w:rsidR="00AA5717" w:rsidRPr="00AF609B" w:rsidRDefault="00AF609B" w:rsidP="00AF609B">
      <w:pPr>
        <w:pStyle w:val="HHLBodyText"/>
        <w:spacing w:before="240"/>
        <w:rPr>
          <w:i/>
        </w:rPr>
      </w:pPr>
      <w:r w:rsidRPr="00AF609B">
        <w:rPr>
          <w:i/>
        </w:rPr>
        <w:t>Rainbow Tick</w:t>
      </w:r>
    </w:p>
    <w:p w14:paraId="5C2D632E" w14:textId="6ECCAE0F" w:rsidR="00AA5717" w:rsidRPr="004D3412" w:rsidRDefault="00AA5717" w:rsidP="00D56789">
      <w:pPr>
        <w:pStyle w:val="HHLBodyText"/>
        <w:rPr>
          <w:sz w:val="22"/>
          <w:szCs w:val="22"/>
        </w:rPr>
      </w:pPr>
      <w:r w:rsidRPr="004D3412">
        <w:rPr>
          <w:sz w:val="22"/>
          <w:szCs w:val="22"/>
        </w:rPr>
        <w:t>Rainbow Tick is an organisation that offers tools to help organisations become innovative and inclusive. They assist with policies and processes that will drive a supportive and productive workplace that specifically recognises and welcomes sexual and gender diversity.</w:t>
      </w:r>
    </w:p>
    <w:p w14:paraId="5442C6A2" w14:textId="1467AF3E" w:rsidR="00AA5717" w:rsidRPr="00880ACA" w:rsidRDefault="00880ACA" w:rsidP="006D11A9">
      <w:pPr>
        <w:pStyle w:val="HHLBodyText"/>
        <w:numPr>
          <w:ilvl w:val="0"/>
          <w:numId w:val="37"/>
        </w:numPr>
        <w:spacing w:after="0"/>
        <w:ind w:left="567" w:hanging="567"/>
        <w:rPr>
          <w:rStyle w:val="Hyperlink"/>
          <w:sz w:val="22"/>
          <w:szCs w:val="22"/>
        </w:rPr>
      </w:pPr>
      <w:r>
        <w:rPr>
          <w:color w:val="548DD4" w:themeColor="text2" w:themeTint="99"/>
          <w:sz w:val="22"/>
          <w:szCs w:val="22"/>
        </w:rPr>
        <w:fldChar w:fldCharType="begin"/>
      </w:r>
      <w:r>
        <w:rPr>
          <w:color w:val="548DD4" w:themeColor="text2" w:themeTint="99"/>
          <w:sz w:val="22"/>
          <w:szCs w:val="22"/>
        </w:rPr>
        <w:instrText>HYPERLINK "http://www.rainbowtick.co.nz/"</w:instrText>
      </w:r>
      <w:r>
        <w:rPr>
          <w:color w:val="548DD4" w:themeColor="text2" w:themeTint="99"/>
          <w:sz w:val="22"/>
          <w:szCs w:val="22"/>
        </w:rPr>
        <w:fldChar w:fldCharType="separate"/>
      </w:r>
      <w:r w:rsidRPr="00880ACA">
        <w:rPr>
          <w:rStyle w:val="Hyperlink"/>
        </w:rPr>
        <w:t>R</w:t>
      </w:r>
      <w:r w:rsidR="00AA5717" w:rsidRPr="00880ACA">
        <w:rPr>
          <w:rStyle w:val="Hyperlink"/>
          <w:sz w:val="22"/>
          <w:szCs w:val="22"/>
        </w:rPr>
        <w:t>ainbow</w:t>
      </w:r>
      <w:r w:rsidR="00AE2EE5">
        <w:rPr>
          <w:rStyle w:val="Hyperlink"/>
          <w:sz w:val="22"/>
          <w:szCs w:val="22"/>
        </w:rPr>
        <w:t xml:space="preserve"> T</w:t>
      </w:r>
      <w:r w:rsidR="00AA5717" w:rsidRPr="00880ACA">
        <w:rPr>
          <w:rStyle w:val="Hyperlink"/>
          <w:sz w:val="22"/>
          <w:szCs w:val="22"/>
        </w:rPr>
        <w:t>ick</w:t>
      </w:r>
    </w:p>
    <w:p w14:paraId="6ABD2BE3" w14:textId="19A4AA4B" w:rsidR="008C552A" w:rsidRPr="00F97DD6" w:rsidRDefault="00880ACA" w:rsidP="00F97DD6">
      <w:pPr>
        <w:pStyle w:val="HHLBodyText"/>
        <w:spacing w:before="240"/>
        <w:rPr>
          <w:i/>
        </w:rPr>
      </w:pPr>
      <w:r>
        <w:rPr>
          <w:color w:val="548DD4" w:themeColor="text2" w:themeTint="99"/>
          <w:sz w:val="22"/>
          <w:szCs w:val="22"/>
        </w:rPr>
        <w:lastRenderedPageBreak/>
        <w:fldChar w:fldCharType="end"/>
      </w:r>
      <w:r w:rsidR="00F97DD6" w:rsidRPr="00F97DD6">
        <w:rPr>
          <w:i/>
        </w:rPr>
        <w:t>Rainbow YOUTH</w:t>
      </w:r>
    </w:p>
    <w:p w14:paraId="20CB1669" w14:textId="77AE09DC" w:rsidR="00AA5717" w:rsidRPr="004D3412" w:rsidRDefault="00AA5717" w:rsidP="00E95764">
      <w:pPr>
        <w:pStyle w:val="HHLBodyText"/>
        <w:spacing w:before="240"/>
        <w:rPr>
          <w:sz w:val="22"/>
          <w:szCs w:val="22"/>
        </w:rPr>
      </w:pPr>
      <w:r w:rsidRPr="004D3412">
        <w:rPr>
          <w:sz w:val="22"/>
          <w:szCs w:val="22"/>
        </w:rPr>
        <w:t>RainbowYOUTH provides a number of services for queer and gender diverse youth and their wider communities all across Aotearoa. One of their professional development workshops is entitled Gender and Sexuality 101.</w:t>
      </w:r>
    </w:p>
    <w:p w14:paraId="2A2780A7" w14:textId="215CBB4B" w:rsidR="00AA5717" w:rsidRPr="003D0D34" w:rsidRDefault="00CF1416" w:rsidP="006D11A9">
      <w:pPr>
        <w:pStyle w:val="HHLBodyText"/>
        <w:numPr>
          <w:ilvl w:val="0"/>
          <w:numId w:val="37"/>
        </w:numPr>
        <w:spacing w:after="0"/>
        <w:ind w:left="567" w:hanging="567"/>
        <w:rPr>
          <w:rStyle w:val="Hyperlink"/>
        </w:rPr>
      </w:pPr>
      <w:hyperlink r:id="rId61" w:history="1">
        <w:r w:rsidR="003D0D34" w:rsidRPr="003D0D34">
          <w:rPr>
            <w:rStyle w:val="Hyperlink"/>
          </w:rPr>
          <w:t>Rainbow YOUTH</w:t>
        </w:r>
      </w:hyperlink>
    </w:p>
    <w:p w14:paraId="544D1001" w14:textId="508F261F" w:rsidR="00471F03" w:rsidRPr="00471F03" w:rsidRDefault="00471F03" w:rsidP="00471F03">
      <w:pPr>
        <w:pStyle w:val="HHLBodyText"/>
        <w:spacing w:before="240"/>
        <w:rPr>
          <w:i/>
        </w:rPr>
      </w:pPr>
      <w:r w:rsidRPr="00471F03">
        <w:rPr>
          <w:i/>
        </w:rPr>
        <w:t>Life Unlimited</w:t>
      </w:r>
    </w:p>
    <w:p w14:paraId="487F5D96" w14:textId="6F8B767A" w:rsidR="00AA5717" w:rsidRPr="004D3412" w:rsidRDefault="00AA5717" w:rsidP="002331BA">
      <w:pPr>
        <w:pStyle w:val="HHLBodyText"/>
        <w:rPr>
          <w:sz w:val="22"/>
          <w:szCs w:val="22"/>
        </w:rPr>
      </w:pPr>
      <w:r w:rsidRPr="004D3412">
        <w:rPr>
          <w:sz w:val="22"/>
          <w:szCs w:val="22"/>
        </w:rPr>
        <w:t>Life Unlimited is a charitable trust that offers health and disability information, advice and equipment to enable people to live the life they choose. The Trust provides disability training workshops to businesses, local authorities, government or other community organisations and offers access to up-to-date information on disability issues.</w:t>
      </w:r>
    </w:p>
    <w:p w14:paraId="61967D76" w14:textId="32548AE1" w:rsidR="003619B0" w:rsidRDefault="00CF1416" w:rsidP="006D11A9">
      <w:pPr>
        <w:pStyle w:val="HHLBodyText"/>
        <w:numPr>
          <w:ilvl w:val="0"/>
          <w:numId w:val="37"/>
        </w:numPr>
        <w:spacing w:after="0"/>
        <w:ind w:left="567" w:hanging="567"/>
        <w:rPr>
          <w:rStyle w:val="Hyperlink"/>
        </w:rPr>
      </w:pPr>
      <w:hyperlink r:id="rId62" w:history="1">
        <w:r w:rsidR="003619B0" w:rsidRPr="003619B0">
          <w:rPr>
            <w:rStyle w:val="Hyperlink"/>
          </w:rPr>
          <w:t>Life Unlimited</w:t>
        </w:r>
      </w:hyperlink>
    </w:p>
    <w:p w14:paraId="7060A09E" w14:textId="65A60AF9" w:rsidR="00A43BA4" w:rsidRPr="003619B0" w:rsidRDefault="00CF1416" w:rsidP="006D11A9">
      <w:pPr>
        <w:pStyle w:val="HHLBodyText"/>
        <w:numPr>
          <w:ilvl w:val="0"/>
          <w:numId w:val="37"/>
        </w:numPr>
        <w:spacing w:after="0"/>
        <w:ind w:left="567" w:hanging="567"/>
        <w:rPr>
          <w:rStyle w:val="Hyperlink"/>
        </w:rPr>
      </w:pPr>
      <w:hyperlink r:id="rId63" w:history="1">
        <w:r w:rsidR="00A43BA4" w:rsidRPr="00A43BA4">
          <w:rPr>
            <w:rStyle w:val="Hyperlink"/>
          </w:rPr>
          <w:t>Learning cloud: Disability Awareness – Working with People with Dis</w:t>
        </w:r>
        <w:r w:rsidR="004B4D0E">
          <w:rPr>
            <w:rStyle w:val="Hyperlink"/>
          </w:rPr>
          <w:t>a</w:t>
        </w:r>
        <w:r w:rsidR="00A43BA4" w:rsidRPr="00A43BA4">
          <w:rPr>
            <w:rStyle w:val="Hyperlink"/>
          </w:rPr>
          <w:t>bilities</w:t>
        </w:r>
      </w:hyperlink>
    </w:p>
    <w:p w14:paraId="5FFB56E2" w14:textId="6720AF9D" w:rsidR="009F6E6E" w:rsidRPr="009F6E6E" w:rsidRDefault="00CF1416" w:rsidP="00A43BA4">
      <w:pPr>
        <w:spacing w:before="240" w:after="120"/>
        <w:rPr>
          <w:rFonts w:cs="Arial"/>
          <w:i/>
          <w:color w:val="auto"/>
          <w:sz w:val="24"/>
        </w:rPr>
      </w:pPr>
      <w:hyperlink r:id="rId64" w:history="1"/>
      <w:r w:rsidR="009F6E6E" w:rsidRPr="009F6E6E">
        <w:rPr>
          <w:rFonts w:cs="Arial"/>
          <w:i/>
          <w:color w:val="auto"/>
          <w:sz w:val="24"/>
        </w:rPr>
        <w:t>Diversity in the population</w:t>
      </w:r>
    </w:p>
    <w:p w14:paraId="48410E24" w14:textId="73BAA3D7" w:rsidR="009F6E6E" w:rsidRPr="009F6E6E" w:rsidRDefault="009F6E6E" w:rsidP="009F6E6E">
      <w:pPr>
        <w:rPr>
          <w:rFonts w:cs="Arial"/>
          <w:color w:val="auto"/>
          <w:sz w:val="22"/>
          <w:szCs w:val="22"/>
        </w:rPr>
      </w:pPr>
      <w:r w:rsidRPr="009F6E6E">
        <w:rPr>
          <w:rFonts w:cs="Arial"/>
          <w:color w:val="auto"/>
          <w:sz w:val="22"/>
          <w:szCs w:val="22"/>
        </w:rPr>
        <w:t xml:space="preserve">The </w:t>
      </w:r>
      <w:hyperlink r:id="rId65" w:history="1">
        <w:r w:rsidRPr="009F6E6E">
          <w:rPr>
            <w:rFonts w:cs="Arial"/>
            <w:color w:val="auto"/>
            <w:sz w:val="22"/>
            <w:szCs w:val="22"/>
            <w:u w:color="0000FF"/>
          </w:rPr>
          <w:t>Health Practitioners Competence Assurance Act 2003</w:t>
        </w:r>
      </w:hyperlink>
      <w:r w:rsidRPr="009F6E6E">
        <w:rPr>
          <w:rFonts w:cs="Arial"/>
          <w:color w:val="auto"/>
          <w:sz w:val="22"/>
          <w:szCs w:val="22"/>
        </w:rPr>
        <w:t xml:space="preserve"> includes a requirement for registration bodies to develop standards of cultural competence and to ensure that practitioners meet those standards.</w:t>
      </w:r>
    </w:p>
    <w:p w14:paraId="02C86674" w14:textId="77777777" w:rsidR="009F6E6E" w:rsidRPr="00E942A1" w:rsidRDefault="009F6E6E" w:rsidP="00E942A1">
      <w:pPr>
        <w:pStyle w:val="HHLBodyText"/>
        <w:rPr>
          <w:sz w:val="22"/>
          <w:szCs w:val="22"/>
        </w:rPr>
      </w:pPr>
      <w:r w:rsidRPr="00E942A1">
        <w:rPr>
          <w:sz w:val="22"/>
          <w:szCs w:val="22"/>
        </w:rPr>
        <w:t>The population of New Zealand is becoming increasingly more diverse; there are many ‘cultures’ to be aware of and they are not necessarily based on one’s ethnicity, race, nationality or religion. In addition to these, the concept of diversity takes into account human differences in many different dimensions, including indigeneity, gender, gender identity, sex characteristics, sexual orientation and expression, age, ability, impairment and disability. Some groups of people with common lived experience consider their way of life to be a specific culture – and as such there are shared values, language, norms and practices (all elements of culture) that inform and shape their daily lives.  Your patients can and will often belong to multiple cultures simultaneously.</w:t>
      </w:r>
    </w:p>
    <w:p w14:paraId="5D0F2EC7" w14:textId="77777777" w:rsidR="009F6E6E" w:rsidRPr="00E942A1" w:rsidRDefault="009F6E6E" w:rsidP="00E942A1">
      <w:pPr>
        <w:pStyle w:val="HHLBodyText"/>
        <w:rPr>
          <w:sz w:val="22"/>
          <w:szCs w:val="22"/>
        </w:rPr>
      </w:pPr>
      <w:r w:rsidRPr="00E942A1">
        <w:rPr>
          <w:sz w:val="22"/>
          <w:szCs w:val="22"/>
        </w:rPr>
        <w:t>There are implications not only on the demographic composition of the practice populations but also the health workforce. One of the major barriers to culturally appropriate, accessible, safe and equitable health services is the lack of cultural awareness, knowledge and skills of health professionals – current thinking around these matters describes cultural competence and cultural safety,</w:t>
      </w:r>
    </w:p>
    <w:p w14:paraId="6BE0E2A3" w14:textId="77777777" w:rsidR="009F6E6E" w:rsidRPr="009F6E6E" w:rsidRDefault="009F6E6E" w:rsidP="00BA0E46">
      <w:pPr>
        <w:spacing w:before="240" w:after="120"/>
        <w:rPr>
          <w:rFonts w:cs="Arial"/>
          <w:i/>
          <w:color w:val="auto"/>
          <w:sz w:val="24"/>
        </w:rPr>
      </w:pPr>
      <w:r w:rsidRPr="009F6E6E">
        <w:rPr>
          <w:rFonts w:cs="Arial"/>
          <w:i/>
          <w:color w:val="auto"/>
          <w:sz w:val="24"/>
        </w:rPr>
        <w:t>Cultural competence and cultural safety</w:t>
      </w:r>
    </w:p>
    <w:p w14:paraId="7EF7ADE7" w14:textId="77777777" w:rsidR="00912A88" w:rsidRDefault="009F6E6E" w:rsidP="00912A88">
      <w:pPr>
        <w:spacing w:before="120" w:after="120"/>
        <w:rPr>
          <w:rFonts w:cs="Arial"/>
          <w:color w:val="auto"/>
          <w:sz w:val="22"/>
          <w:szCs w:val="22"/>
        </w:rPr>
      </w:pPr>
      <w:r w:rsidRPr="009F6E6E">
        <w:rPr>
          <w:rFonts w:cs="Arial"/>
          <w:color w:val="auto"/>
          <w:sz w:val="22"/>
          <w:szCs w:val="22"/>
        </w:rPr>
        <w:t xml:space="preserve">Cultural </w:t>
      </w:r>
      <w:r w:rsidRPr="008E14B6">
        <w:rPr>
          <w:rFonts w:cs="Arial"/>
          <w:color w:val="auto"/>
          <w:sz w:val="22"/>
          <w:szCs w:val="22"/>
        </w:rPr>
        <w:t xml:space="preserve">competence </w:t>
      </w:r>
      <w:r w:rsidRPr="009F6E6E">
        <w:rPr>
          <w:rFonts w:cs="Arial"/>
          <w:color w:val="auto"/>
          <w:sz w:val="22"/>
          <w:szCs w:val="22"/>
        </w:rPr>
        <w:t xml:space="preserve">refers to the skill-base of your general practice staff that enables them to recognise issues of cultural difference that may lead to miscommunication and inappropriate treatment. </w:t>
      </w:r>
      <w:r w:rsidR="008E14B6">
        <w:rPr>
          <w:rFonts w:cs="Arial"/>
          <w:color w:val="auto"/>
          <w:sz w:val="22"/>
          <w:szCs w:val="22"/>
        </w:rPr>
        <w:t>C</w:t>
      </w:r>
      <w:r w:rsidRPr="009F6E6E">
        <w:rPr>
          <w:rFonts w:cs="Arial"/>
          <w:color w:val="auto"/>
          <w:sz w:val="22"/>
          <w:szCs w:val="22"/>
        </w:rPr>
        <w:t xml:space="preserve">ultural competence training will help them to take positive actions to help maintain a strong </w:t>
      </w:r>
      <w:r w:rsidR="00C80464" w:rsidRPr="009F6E6E">
        <w:rPr>
          <w:rFonts w:cs="Arial"/>
          <w:color w:val="auto"/>
          <w:sz w:val="22"/>
          <w:szCs w:val="22"/>
        </w:rPr>
        <w:t>rapport, a</w:t>
      </w:r>
      <w:r w:rsidRPr="009F6E6E">
        <w:rPr>
          <w:rFonts w:cs="Arial"/>
          <w:color w:val="auto"/>
          <w:sz w:val="22"/>
          <w:szCs w:val="22"/>
        </w:rPr>
        <w:t xml:space="preserve"> clear understanding and practice that is consistent with the culture of the patient and their whānau or family. Cultural safety can be defined in many ways; the term is grounded in the experience of the patient. Factors other than the cultural competence of practitioners can contribute to the presence or absence of cultural safety for a patient, for example, environmental factors.</w:t>
      </w:r>
    </w:p>
    <w:p w14:paraId="2D638432" w14:textId="5F059A08" w:rsidR="009F6E6E" w:rsidRPr="009F6E6E" w:rsidRDefault="009F6E6E" w:rsidP="00912A88">
      <w:pPr>
        <w:spacing w:before="120"/>
        <w:rPr>
          <w:rFonts w:cs="Arial"/>
          <w:color w:val="auto"/>
          <w:sz w:val="22"/>
          <w:szCs w:val="22"/>
        </w:rPr>
      </w:pPr>
      <w:r w:rsidRPr="009F6E6E">
        <w:rPr>
          <w:rFonts w:cs="Arial"/>
          <w:color w:val="auto"/>
          <w:sz w:val="22"/>
          <w:szCs w:val="22"/>
        </w:rPr>
        <w:t>It is important to realise that simply knowing the information is insufficient; to achieve cultural competence, and for patients to experience cultural safety within your practice, general practice teams must integrate the knowledge into specific practices and policies that are applied to appropriate settings.</w:t>
      </w:r>
    </w:p>
    <w:p w14:paraId="5DD34B1A" w14:textId="54F879D8" w:rsidR="009F6E6E" w:rsidRPr="009F6E6E" w:rsidRDefault="009F6E6E" w:rsidP="00912A88">
      <w:pPr>
        <w:spacing w:before="120"/>
        <w:rPr>
          <w:rFonts w:cs="Arial"/>
          <w:color w:val="auto"/>
          <w:sz w:val="22"/>
          <w:szCs w:val="22"/>
        </w:rPr>
      </w:pPr>
      <w:r w:rsidRPr="009F6E6E">
        <w:rPr>
          <w:rFonts w:cs="Arial"/>
          <w:color w:val="auto"/>
          <w:sz w:val="22"/>
          <w:szCs w:val="22"/>
        </w:rPr>
        <w:t>Developing an understanding of cultural competence will allow you to:</w:t>
      </w:r>
    </w:p>
    <w:p w14:paraId="0DF51597" w14:textId="7AF9396E" w:rsidR="009F6E6E" w:rsidRPr="00806F90" w:rsidRDefault="009C3812" w:rsidP="006D11A9">
      <w:pPr>
        <w:pStyle w:val="Bullets"/>
        <w:ind w:left="567" w:hanging="567"/>
        <w:rPr>
          <w:rFonts w:ascii="Arial" w:hAnsi="Arial" w:cs="Arial"/>
          <w:szCs w:val="22"/>
        </w:rPr>
      </w:pPr>
      <w:r w:rsidRPr="00806F90">
        <w:rPr>
          <w:rFonts w:ascii="Arial" w:hAnsi="Arial" w:cs="Arial"/>
          <w:szCs w:val="22"/>
        </w:rPr>
        <w:t>B</w:t>
      </w:r>
      <w:r w:rsidR="009F6E6E" w:rsidRPr="00806F90">
        <w:rPr>
          <w:rFonts w:ascii="Arial" w:hAnsi="Arial" w:cs="Arial"/>
          <w:szCs w:val="22"/>
        </w:rPr>
        <w:t>uild strong relationships with patients</w:t>
      </w:r>
      <w:r w:rsidRPr="00806F90">
        <w:rPr>
          <w:rFonts w:ascii="Arial" w:hAnsi="Arial" w:cs="Arial"/>
          <w:szCs w:val="22"/>
        </w:rPr>
        <w:t>.</w:t>
      </w:r>
    </w:p>
    <w:p w14:paraId="0E49FFF9" w14:textId="461D21BA" w:rsidR="009F6E6E" w:rsidRPr="00806F90" w:rsidRDefault="009C3812" w:rsidP="006D11A9">
      <w:pPr>
        <w:pStyle w:val="Bullets"/>
        <w:ind w:left="567" w:hanging="567"/>
        <w:rPr>
          <w:rFonts w:ascii="Arial" w:hAnsi="Arial" w:cs="Arial"/>
          <w:szCs w:val="22"/>
        </w:rPr>
      </w:pPr>
      <w:r w:rsidRPr="00806F90">
        <w:rPr>
          <w:rFonts w:ascii="Arial" w:hAnsi="Arial" w:cs="Arial"/>
          <w:szCs w:val="22"/>
        </w:rPr>
        <w:t>F</w:t>
      </w:r>
      <w:r w:rsidR="009F6E6E" w:rsidRPr="00806F90">
        <w:rPr>
          <w:rFonts w:ascii="Arial" w:hAnsi="Arial" w:cs="Arial"/>
          <w:szCs w:val="22"/>
        </w:rPr>
        <w:t>ind out more about the patient and their condition in order to make a more informed diagnosis</w:t>
      </w:r>
      <w:r w:rsidRPr="00806F90">
        <w:rPr>
          <w:rFonts w:ascii="Arial" w:hAnsi="Arial" w:cs="Arial"/>
          <w:szCs w:val="22"/>
        </w:rPr>
        <w:t>.</w:t>
      </w:r>
    </w:p>
    <w:p w14:paraId="47EDBD30" w14:textId="66A3C4A5" w:rsidR="009F6E6E" w:rsidRPr="00806F90" w:rsidRDefault="009C3812" w:rsidP="006D11A9">
      <w:pPr>
        <w:pStyle w:val="Bullets"/>
        <w:ind w:left="567" w:hanging="567"/>
        <w:rPr>
          <w:rFonts w:ascii="Arial" w:hAnsi="Arial" w:cs="Arial"/>
          <w:szCs w:val="22"/>
        </w:rPr>
      </w:pPr>
      <w:r w:rsidRPr="00806F90">
        <w:rPr>
          <w:rFonts w:ascii="Arial" w:hAnsi="Arial" w:cs="Arial"/>
          <w:szCs w:val="22"/>
        </w:rPr>
        <w:lastRenderedPageBreak/>
        <w:t>M</w:t>
      </w:r>
      <w:r w:rsidR="009F6E6E" w:rsidRPr="00806F90">
        <w:rPr>
          <w:rFonts w:ascii="Arial" w:hAnsi="Arial" w:cs="Arial"/>
          <w:szCs w:val="22"/>
        </w:rPr>
        <w:t>ore effectively explain the diagnosis, treatment and what the planned follow-up will be by using a patient-centric approach to the consultation</w:t>
      </w:r>
      <w:r w:rsidRPr="00806F90">
        <w:rPr>
          <w:rFonts w:ascii="Arial" w:hAnsi="Arial" w:cs="Arial"/>
          <w:szCs w:val="22"/>
        </w:rPr>
        <w:t>.</w:t>
      </w:r>
    </w:p>
    <w:p w14:paraId="067FAA17" w14:textId="33BBD33F" w:rsidR="009F6E6E" w:rsidRPr="00806F90" w:rsidRDefault="009C3812" w:rsidP="006D11A9">
      <w:pPr>
        <w:pStyle w:val="Bullets"/>
        <w:ind w:left="567" w:hanging="567"/>
        <w:rPr>
          <w:rFonts w:ascii="Arial" w:hAnsi="Arial" w:cs="Arial"/>
          <w:szCs w:val="22"/>
        </w:rPr>
      </w:pPr>
      <w:r w:rsidRPr="00806F90">
        <w:rPr>
          <w:rFonts w:ascii="Arial" w:hAnsi="Arial" w:cs="Arial"/>
          <w:szCs w:val="22"/>
        </w:rPr>
        <w:t>P</w:t>
      </w:r>
      <w:r w:rsidR="009F6E6E" w:rsidRPr="00806F90">
        <w:rPr>
          <w:rFonts w:ascii="Arial" w:hAnsi="Arial" w:cs="Arial"/>
          <w:szCs w:val="22"/>
        </w:rPr>
        <w:t>rovide an environment within your general practice setting that is not inconsistent with the values, language, norms and practices of your patients</w:t>
      </w:r>
      <w:r w:rsidRPr="00806F90">
        <w:rPr>
          <w:rFonts w:ascii="Arial" w:hAnsi="Arial" w:cs="Arial"/>
          <w:szCs w:val="22"/>
        </w:rPr>
        <w:t>.</w:t>
      </w:r>
    </w:p>
    <w:p w14:paraId="6AACEB0D" w14:textId="47A3E18B" w:rsidR="009F6E6E" w:rsidRPr="00806F90" w:rsidRDefault="009C3812" w:rsidP="006D11A9">
      <w:pPr>
        <w:pStyle w:val="Bullets"/>
        <w:ind w:left="567" w:hanging="567"/>
        <w:rPr>
          <w:rFonts w:ascii="Arial" w:hAnsi="Arial" w:cs="Arial"/>
          <w:szCs w:val="22"/>
        </w:rPr>
      </w:pPr>
      <w:r w:rsidRPr="00806F90">
        <w:rPr>
          <w:rFonts w:ascii="Arial" w:hAnsi="Arial" w:cs="Arial"/>
          <w:szCs w:val="22"/>
        </w:rPr>
        <w:t>U</w:t>
      </w:r>
      <w:r w:rsidR="009F6E6E" w:rsidRPr="00806F90">
        <w:rPr>
          <w:rFonts w:ascii="Arial" w:hAnsi="Arial" w:cs="Arial"/>
          <w:szCs w:val="22"/>
        </w:rPr>
        <w:t>nderstand each patient’s own environment and make recommendations that are more realistic and likely to succeed</w:t>
      </w:r>
      <w:r w:rsidRPr="00806F90">
        <w:rPr>
          <w:rFonts w:ascii="Arial" w:hAnsi="Arial" w:cs="Arial"/>
          <w:szCs w:val="22"/>
        </w:rPr>
        <w:t>.</w:t>
      </w:r>
    </w:p>
    <w:p w14:paraId="06C2427E" w14:textId="75105A2C" w:rsidR="009F6E6E" w:rsidRPr="00806F90" w:rsidRDefault="009C3812" w:rsidP="006D11A9">
      <w:pPr>
        <w:pStyle w:val="Bullets"/>
        <w:ind w:left="567" w:hanging="567"/>
        <w:rPr>
          <w:rFonts w:ascii="Arial" w:hAnsi="Arial" w:cs="Arial"/>
          <w:szCs w:val="22"/>
        </w:rPr>
      </w:pPr>
      <w:r w:rsidRPr="00806F90">
        <w:rPr>
          <w:rFonts w:ascii="Arial" w:hAnsi="Arial" w:cs="Arial"/>
          <w:szCs w:val="22"/>
        </w:rPr>
        <w:t>S</w:t>
      </w:r>
      <w:r w:rsidR="009F6E6E" w:rsidRPr="00806F90">
        <w:rPr>
          <w:rFonts w:ascii="Arial" w:hAnsi="Arial" w:cs="Arial"/>
          <w:szCs w:val="22"/>
        </w:rPr>
        <w:t>ignificantly affect numerous patient outcomes, including emotional health, symptom resolution, function, physiologic measures (e.g. blood pressure and blood sugar level) and pain control</w:t>
      </w:r>
      <w:r w:rsidRPr="00806F90">
        <w:rPr>
          <w:rFonts w:ascii="Arial" w:hAnsi="Arial" w:cs="Arial"/>
          <w:szCs w:val="22"/>
        </w:rPr>
        <w:t>.</w:t>
      </w:r>
    </w:p>
    <w:p w14:paraId="657D9D69" w14:textId="7FFBA5B7" w:rsidR="009F6E6E" w:rsidRPr="00806F90" w:rsidRDefault="009C3812" w:rsidP="006D11A9">
      <w:pPr>
        <w:pStyle w:val="Bullets"/>
        <w:ind w:left="567" w:hanging="567"/>
        <w:rPr>
          <w:rFonts w:ascii="Arial" w:hAnsi="Arial" w:cs="Arial"/>
          <w:szCs w:val="22"/>
        </w:rPr>
      </w:pPr>
      <w:r w:rsidRPr="00806F90">
        <w:rPr>
          <w:rFonts w:ascii="Arial" w:hAnsi="Arial" w:cs="Arial"/>
          <w:szCs w:val="22"/>
        </w:rPr>
        <w:t>I</w:t>
      </w:r>
      <w:r w:rsidR="009F6E6E" w:rsidRPr="00806F90">
        <w:rPr>
          <w:rFonts w:ascii="Arial" w:hAnsi="Arial" w:cs="Arial"/>
          <w:szCs w:val="22"/>
        </w:rPr>
        <w:t>ncrease doctor and patient satisfaction</w:t>
      </w:r>
      <w:r w:rsidRPr="00806F90">
        <w:rPr>
          <w:rFonts w:ascii="Arial" w:hAnsi="Arial" w:cs="Arial"/>
          <w:szCs w:val="22"/>
        </w:rPr>
        <w:t>.</w:t>
      </w:r>
    </w:p>
    <w:p w14:paraId="1F0CA37B" w14:textId="3FC775A4" w:rsidR="009F6E6E" w:rsidRPr="00806F90" w:rsidRDefault="00BA0E46" w:rsidP="006D11A9">
      <w:pPr>
        <w:pStyle w:val="Bullets"/>
        <w:ind w:left="567" w:hanging="567"/>
        <w:rPr>
          <w:rFonts w:ascii="Arial" w:hAnsi="Arial" w:cs="Arial"/>
          <w:szCs w:val="22"/>
        </w:rPr>
      </w:pPr>
      <w:r w:rsidRPr="00806F90">
        <w:rPr>
          <w:rFonts w:ascii="Arial" w:hAnsi="Arial" w:cs="Arial"/>
          <w:szCs w:val="22"/>
        </w:rPr>
        <w:t>E</w:t>
      </w:r>
      <w:r w:rsidR="009F6E6E" w:rsidRPr="00806F90">
        <w:rPr>
          <w:rFonts w:ascii="Arial" w:hAnsi="Arial" w:cs="Arial"/>
          <w:szCs w:val="22"/>
        </w:rPr>
        <w:t>nhance continuity of care</w:t>
      </w:r>
      <w:r w:rsidRPr="00806F90">
        <w:rPr>
          <w:rFonts w:ascii="Arial" w:hAnsi="Arial" w:cs="Arial"/>
          <w:szCs w:val="22"/>
        </w:rPr>
        <w:t>.</w:t>
      </w:r>
    </w:p>
    <w:p w14:paraId="42E87376" w14:textId="1E3D7031" w:rsidR="009F6E6E" w:rsidRPr="009F6E6E" w:rsidRDefault="00146C6A" w:rsidP="006D11A9">
      <w:pPr>
        <w:pStyle w:val="Bullets"/>
        <w:ind w:left="567" w:hanging="567"/>
        <w:rPr>
          <w:rFonts w:ascii="Arial" w:hAnsi="Arial" w:cs="Arial"/>
          <w:color w:val="auto"/>
          <w:szCs w:val="22"/>
        </w:rPr>
      </w:pPr>
      <w:r>
        <w:rPr>
          <w:rFonts w:ascii="Arial" w:hAnsi="Arial" w:cs="Arial"/>
          <w:szCs w:val="22"/>
        </w:rPr>
        <w:t>A</w:t>
      </w:r>
      <w:r w:rsidR="009F6E6E" w:rsidRPr="00806F90">
        <w:rPr>
          <w:rFonts w:ascii="Arial" w:hAnsi="Arial" w:cs="Arial"/>
          <w:szCs w:val="22"/>
        </w:rPr>
        <w:t>void unintentional offence.</w:t>
      </w:r>
    </w:p>
    <w:p w14:paraId="6AA23E2C" w14:textId="77777777" w:rsidR="009F6E6E" w:rsidRPr="00BA0E46" w:rsidRDefault="009F6E6E" w:rsidP="00BA0E46">
      <w:pPr>
        <w:spacing w:before="240" w:after="120"/>
        <w:rPr>
          <w:rFonts w:cs="Arial"/>
          <w:i/>
          <w:color w:val="auto"/>
          <w:sz w:val="24"/>
        </w:rPr>
      </w:pPr>
      <w:r w:rsidRPr="00BA0E46">
        <w:rPr>
          <w:rFonts w:cs="Arial"/>
          <w:i/>
          <w:color w:val="auto"/>
          <w:sz w:val="24"/>
        </w:rPr>
        <w:t>Ethnicity data capture</w:t>
      </w:r>
    </w:p>
    <w:p w14:paraId="6D3802B0" w14:textId="77777777" w:rsidR="009F6E6E" w:rsidRPr="009F6E6E" w:rsidRDefault="009F6E6E" w:rsidP="00912A88">
      <w:pPr>
        <w:spacing w:after="120"/>
        <w:rPr>
          <w:rFonts w:cs="Arial"/>
          <w:color w:val="auto"/>
          <w:sz w:val="22"/>
          <w:szCs w:val="22"/>
        </w:rPr>
      </w:pPr>
      <w:r w:rsidRPr="009F6E6E">
        <w:rPr>
          <w:rFonts w:cs="Arial"/>
          <w:color w:val="auto"/>
          <w:sz w:val="22"/>
          <w:szCs w:val="22"/>
        </w:rPr>
        <w:t>Providing quality ethnicity data will ensure the government is able to track health trends by ethnicity and effectively monitor its performance to improve health outcomes and reduce health inequities.</w:t>
      </w:r>
    </w:p>
    <w:p w14:paraId="18CBF893" w14:textId="77777777" w:rsidR="009F6E6E" w:rsidRPr="009F6E6E" w:rsidRDefault="009F6E6E" w:rsidP="00912A88">
      <w:pPr>
        <w:spacing w:after="120"/>
        <w:rPr>
          <w:rFonts w:cs="Arial"/>
          <w:color w:val="auto"/>
          <w:sz w:val="22"/>
          <w:szCs w:val="22"/>
        </w:rPr>
      </w:pPr>
      <w:r w:rsidRPr="009F6E6E">
        <w:rPr>
          <w:rFonts w:cs="Arial"/>
          <w:color w:val="auto"/>
          <w:sz w:val="22"/>
          <w:szCs w:val="22"/>
        </w:rPr>
        <w:t>Ethnicity data must not be transferred from another form as it may have been incorrectly collected.</w:t>
      </w:r>
    </w:p>
    <w:p w14:paraId="640BE2C3" w14:textId="77777777" w:rsidR="009F6E6E" w:rsidRPr="009F6E6E" w:rsidRDefault="009F6E6E" w:rsidP="00912A88">
      <w:pPr>
        <w:spacing w:after="120"/>
        <w:rPr>
          <w:rFonts w:cs="Arial"/>
          <w:color w:val="auto"/>
          <w:sz w:val="22"/>
          <w:szCs w:val="22"/>
        </w:rPr>
      </w:pPr>
      <w:r w:rsidRPr="009F6E6E">
        <w:rPr>
          <w:rFonts w:cs="Arial"/>
          <w:color w:val="auto"/>
          <w:sz w:val="22"/>
          <w:szCs w:val="22"/>
        </w:rPr>
        <w:t xml:space="preserve">The registration form will include a field to capture ethnicity data. When collecting ethnicity, self-identification must be the process used to identify a patient’s ethnic group. </w:t>
      </w:r>
    </w:p>
    <w:p w14:paraId="370737FE" w14:textId="77777777" w:rsidR="009F6E6E" w:rsidRPr="009F6E6E" w:rsidRDefault="009F6E6E" w:rsidP="00912A88">
      <w:pPr>
        <w:spacing w:after="120"/>
        <w:rPr>
          <w:rFonts w:cs="Arial"/>
          <w:color w:val="auto"/>
          <w:sz w:val="22"/>
          <w:szCs w:val="22"/>
        </w:rPr>
      </w:pPr>
      <w:r w:rsidRPr="009F6E6E">
        <w:rPr>
          <w:rFonts w:cs="Arial"/>
          <w:color w:val="auto"/>
          <w:sz w:val="22"/>
          <w:szCs w:val="22"/>
        </w:rPr>
        <w:t>It is unacceptable for the collector to guess any patient’s ethnicity or to complete the questions on behalf of the patient based on what they perceive to be the respondent’s physical appearance.</w:t>
      </w:r>
    </w:p>
    <w:p w14:paraId="2AFBED5B" w14:textId="7272ABCB" w:rsidR="009F6E6E" w:rsidRPr="00DE66AB" w:rsidRDefault="009F6E6E" w:rsidP="00912A88">
      <w:pPr>
        <w:spacing w:after="120"/>
        <w:rPr>
          <w:rFonts w:cs="Arial"/>
          <w:color w:val="auto"/>
          <w:sz w:val="22"/>
          <w:szCs w:val="22"/>
        </w:rPr>
      </w:pPr>
      <w:r w:rsidRPr="009F6E6E">
        <w:rPr>
          <w:rFonts w:cs="Arial"/>
          <w:color w:val="auto"/>
          <w:sz w:val="22"/>
          <w:szCs w:val="22"/>
        </w:rPr>
        <w:t xml:space="preserve">Ethnicity capture must align with </w:t>
      </w:r>
      <w:hyperlink r:id="rId66" w:history="1">
        <w:r w:rsidRPr="009F6E6E">
          <w:rPr>
            <w:rStyle w:val="Hyperlink"/>
            <w:rFonts w:cs="Arial"/>
            <w:color w:val="auto"/>
            <w:sz w:val="22"/>
            <w:szCs w:val="22"/>
          </w:rPr>
          <w:t>Enrolment requirements for providers and primary health organisations</w:t>
        </w:r>
      </w:hyperlink>
      <w:r w:rsidRPr="009F6E6E">
        <w:rPr>
          <w:rFonts w:cs="Arial"/>
          <w:color w:val="auto"/>
          <w:sz w:val="22"/>
          <w:szCs w:val="22"/>
        </w:rPr>
        <w:t xml:space="preserve">. </w:t>
      </w:r>
      <w:r w:rsidRPr="00DE66AB">
        <w:rPr>
          <w:rFonts w:cs="Arial"/>
          <w:color w:val="auto"/>
          <w:sz w:val="22"/>
          <w:szCs w:val="22"/>
        </w:rPr>
        <w:t>The ethnicity question must be worded and set out exactly as specified in the M</w:t>
      </w:r>
      <w:r w:rsidR="00F65886" w:rsidRPr="00DE66AB">
        <w:rPr>
          <w:rFonts w:cs="Arial"/>
          <w:color w:val="auto"/>
          <w:sz w:val="22"/>
          <w:szCs w:val="22"/>
        </w:rPr>
        <w:t>i</w:t>
      </w:r>
      <w:r w:rsidR="0019172E" w:rsidRPr="00DE66AB">
        <w:rPr>
          <w:rFonts w:cs="Arial"/>
          <w:color w:val="auto"/>
          <w:sz w:val="22"/>
          <w:szCs w:val="22"/>
        </w:rPr>
        <w:t>n</w:t>
      </w:r>
      <w:r w:rsidR="00F65886" w:rsidRPr="00DE66AB">
        <w:rPr>
          <w:rFonts w:cs="Arial"/>
          <w:color w:val="auto"/>
          <w:sz w:val="22"/>
          <w:szCs w:val="22"/>
        </w:rPr>
        <w:t>istry of Health</w:t>
      </w:r>
      <w:r w:rsidR="00F94012" w:rsidRPr="00DE66AB">
        <w:rPr>
          <w:rFonts w:cs="Arial"/>
          <w:color w:val="auto"/>
          <w:sz w:val="22"/>
          <w:szCs w:val="22"/>
        </w:rPr>
        <w:t xml:space="preserve"> </w:t>
      </w:r>
      <w:r w:rsidRPr="00DE66AB">
        <w:rPr>
          <w:rFonts w:cs="Arial"/>
          <w:color w:val="auto"/>
          <w:sz w:val="22"/>
          <w:szCs w:val="22"/>
        </w:rPr>
        <w:t xml:space="preserve">policy as this is the standard ethnicity question required by the </w:t>
      </w:r>
      <w:hyperlink r:id="rId67" w:history="1">
        <w:r w:rsidRPr="00DE66AB">
          <w:rPr>
            <w:rStyle w:val="Hyperlink"/>
            <w:rFonts w:cs="Arial"/>
            <w:color w:val="auto"/>
            <w:sz w:val="22"/>
            <w:szCs w:val="22"/>
            <w:u w:val="none"/>
          </w:rPr>
          <w:t>Ethnicity data protocols for the health and disability sector</w:t>
        </w:r>
      </w:hyperlink>
      <w:r w:rsidRPr="00DE66AB">
        <w:rPr>
          <w:rFonts w:cs="Arial"/>
          <w:color w:val="auto"/>
          <w:sz w:val="22"/>
          <w:szCs w:val="22"/>
        </w:rPr>
        <w:t xml:space="preserve">. </w:t>
      </w:r>
    </w:p>
    <w:p w14:paraId="1DCD8CFC" w14:textId="77777777" w:rsidR="009F6E6E" w:rsidRPr="009F6E6E" w:rsidRDefault="009F6E6E" w:rsidP="00912A88">
      <w:pPr>
        <w:spacing w:after="120"/>
        <w:rPr>
          <w:rFonts w:cs="Arial"/>
          <w:color w:val="auto"/>
          <w:sz w:val="22"/>
          <w:szCs w:val="22"/>
        </w:rPr>
      </w:pPr>
      <w:r w:rsidRPr="009F6E6E">
        <w:rPr>
          <w:rFonts w:cs="Arial"/>
          <w:color w:val="auto"/>
          <w:sz w:val="22"/>
          <w:szCs w:val="22"/>
        </w:rPr>
        <w:t>A sample enrolment form is available in the policy, including a privacy statement, an explanation of PHOs for the patient, and model answers to frequently asked questions.</w:t>
      </w:r>
    </w:p>
    <w:p w14:paraId="1722D9BC" w14:textId="77777777" w:rsidR="009F6E6E" w:rsidRPr="0019172E" w:rsidRDefault="009F6E6E" w:rsidP="0019172E">
      <w:pPr>
        <w:spacing w:before="240" w:after="120"/>
        <w:rPr>
          <w:rFonts w:cs="Arial"/>
          <w:i/>
          <w:color w:val="auto"/>
          <w:sz w:val="24"/>
        </w:rPr>
      </w:pPr>
      <w:r w:rsidRPr="0019172E">
        <w:rPr>
          <w:rFonts w:cs="Arial"/>
          <w:i/>
          <w:color w:val="auto"/>
          <w:sz w:val="24"/>
        </w:rPr>
        <w:t>Interpreters and communication resources for people with limited English proficiency</w:t>
      </w:r>
    </w:p>
    <w:p w14:paraId="2F07C02A" w14:textId="77777777" w:rsidR="009F6E6E" w:rsidRPr="009F6E6E" w:rsidRDefault="009F6E6E" w:rsidP="00912A88">
      <w:pPr>
        <w:spacing w:after="120"/>
        <w:rPr>
          <w:rFonts w:cs="Arial"/>
          <w:color w:val="auto"/>
          <w:sz w:val="22"/>
          <w:szCs w:val="22"/>
        </w:rPr>
      </w:pPr>
      <w:r w:rsidRPr="009F6E6E">
        <w:rPr>
          <w:rFonts w:cs="Arial"/>
          <w:color w:val="auto"/>
          <w:sz w:val="22"/>
          <w:szCs w:val="22"/>
        </w:rPr>
        <w:t>Your team should be able to access interpreters and resources for people with limited English proficiency. Where possible try and engage the services of an experienced interpreter who has been trained in medical terminology and concepts. You should hold a list of contact details for interpreter services for your staff and patients.</w:t>
      </w:r>
    </w:p>
    <w:p w14:paraId="5763CDF1" w14:textId="77777777" w:rsidR="009F6E6E" w:rsidRPr="009F6E6E" w:rsidRDefault="009F6E6E" w:rsidP="00A17E2C">
      <w:pPr>
        <w:spacing w:after="120"/>
        <w:rPr>
          <w:rFonts w:cs="Arial"/>
          <w:color w:val="auto"/>
          <w:sz w:val="22"/>
          <w:szCs w:val="22"/>
        </w:rPr>
      </w:pPr>
      <w:r w:rsidRPr="009F6E6E">
        <w:rPr>
          <w:rFonts w:cs="Arial"/>
          <w:color w:val="auto"/>
          <w:sz w:val="22"/>
          <w:szCs w:val="22"/>
        </w:rPr>
        <w:t xml:space="preserve">In reality, the use of trained interpreters is often not possible because of lack of access or high cost. Friends and family members are frequently used as ‘communicators’ or de facto interpreters for the patient. Any requirements and provisions you identify for each patient should be clearly documented and the need for any interpreter flagged in the patient’s clinical record. </w:t>
      </w:r>
    </w:p>
    <w:p w14:paraId="2AE089B8" w14:textId="77777777" w:rsidR="009F6E6E" w:rsidRPr="009F6E6E" w:rsidRDefault="009F6E6E" w:rsidP="00A17E2C">
      <w:pPr>
        <w:spacing w:after="120"/>
        <w:rPr>
          <w:rFonts w:cs="Arial"/>
          <w:color w:val="auto"/>
          <w:sz w:val="22"/>
          <w:szCs w:val="22"/>
        </w:rPr>
      </w:pPr>
      <w:r w:rsidRPr="009F6E6E">
        <w:rPr>
          <w:rFonts w:cs="Arial"/>
          <w:color w:val="auto"/>
          <w:sz w:val="22"/>
          <w:szCs w:val="22"/>
        </w:rPr>
        <w:t xml:space="preserve">Consider how staff can identify patients with a hearing, sight or speech impairment. Once these patients have been identified, you will need to make provision for these patients to communicate with the practice. For example, consider whether lip-readers can clearly see the receptionist’s face (e.g. they are not obscured by a computer monitor or high counter top).  </w:t>
      </w:r>
    </w:p>
    <w:p w14:paraId="0310124B" w14:textId="77777777" w:rsidR="009F6E6E" w:rsidRPr="009F6E6E" w:rsidRDefault="009F6E6E" w:rsidP="009F6E6E">
      <w:pPr>
        <w:rPr>
          <w:rFonts w:cs="Arial"/>
          <w:color w:val="auto"/>
          <w:sz w:val="22"/>
          <w:szCs w:val="22"/>
        </w:rPr>
      </w:pPr>
      <w:r w:rsidRPr="009F6E6E">
        <w:rPr>
          <w:rFonts w:cs="Arial"/>
          <w:color w:val="auto"/>
          <w:sz w:val="22"/>
          <w:szCs w:val="22"/>
        </w:rPr>
        <w:t>These are some of the ways you can communicate with hearing, sight or speech impaired people (you may know others):</w:t>
      </w:r>
    </w:p>
    <w:p w14:paraId="1A9A6E70" w14:textId="77777777" w:rsidR="009F6E6E" w:rsidRPr="00146C6A" w:rsidRDefault="009F6E6E" w:rsidP="006D11A9">
      <w:pPr>
        <w:pStyle w:val="Bullets"/>
        <w:ind w:left="567" w:hanging="567"/>
        <w:rPr>
          <w:rFonts w:ascii="Arial" w:hAnsi="Arial" w:cs="Arial"/>
          <w:szCs w:val="22"/>
        </w:rPr>
      </w:pPr>
      <w:r w:rsidRPr="00146C6A">
        <w:rPr>
          <w:rFonts w:ascii="Arial" w:hAnsi="Arial" w:cs="Arial"/>
          <w:szCs w:val="22"/>
        </w:rPr>
        <w:t>Mail</w:t>
      </w:r>
    </w:p>
    <w:p w14:paraId="318B7218" w14:textId="77777777" w:rsidR="009F6E6E" w:rsidRPr="00146C6A" w:rsidRDefault="009F6E6E" w:rsidP="006D11A9">
      <w:pPr>
        <w:pStyle w:val="Bullets"/>
        <w:ind w:left="567" w:hanging="567"/>
        <w:rPr>
          <w:rFonts w:ascii="Arial" w:hAnsi="Arial" w:cs="Arial"/>
          <w:szCs w:val="22"/>
        </w:rPr>
      </w:pPr>
      <w:r w:rsidRPr="00146C6A">
        <w:rPr>
          <w:rFonts w:ascii="Arial" w:hAnsi="Arial" w:cs="Arial"/>
          <w:szCs w:val="22"/>
        </w:rPr>
        <w:t>Fax</w:t>
      </w:r>
    </w:p>
    <w:p w14:paraId="4DA4BE10" w14:textId="77777777" w:rsidR="009F6E6E" w:rsidRPr="00146C6A" w:rsidRDefault="009F6E6E" w:rsidP="006D11A9">
      <w:pPr>
        <w:pStyle w:val="Bullets"/>
        <w:ind w:left="567" w:hanging="567"/>
        <w:rPr>
          <w:rFonts w:ascii="Arial" w:hAnsi="Arial" w:cs="Arial"/>
          <w:szCs w:val="22"/>
        </w:rPr>
      </w:pPr>
      <w:r w:rsidRPr="00146C6A">
        <w:rPr>
          <w:rFonts w:ascii="Arial" w:hAnsi="Arial" w:cs="Arial"/>
          <w:szCs w:val="22"/>
        </w:rPr>
        <w:t>Email</w:t>
      </w:r>
    </w:p>
    <w:p w14:paraId="441C4042" w14:textId="77777777" w:rsidR="009F6E6E" w:rsidRPr="00146C6A" w:rsidRDefault="009F6E6E" w:rsidP="006D11A9">
      <w:pPr>
        <w:pStyle w:val="Bullets"/>
        <w:ind w:left="567" w:hanging="567"/>
        <w:rPr>
          <w:rFonts w:ascii="Arial" w:hAnsi="Arial" w:cs="Arial"/>
          <w:szCs w:val="22"/>
        </w:rPr>
      </w:pPr>
      <w:r w:rsidRPr="00146C6A">
        <w:rPr>
          <w:rFonts w:ascii="Arial" w:hAnsi="Arial" w:cs="Arial"/>
          <w:szCs w:val="22"/>
        </w:rPr>
        <w:t>Text</w:t>
      </w:r>
    </w:p>
    <w:p w14:paraId="0AD9F2A8" w14:textId="77777777" w:rsidR="009F6E6E" w:rsidRPr="00146C6A" w:rsidRDefault="009F6E6E" w:rsidP="006D11A9">
      <w:pPr>
        <w:pStyle w:val="Bullets"/>
        <w:ind w:left="567" w:hanging="567"/>
        <w:rPr>
          <w:rFonts w:ascii="Arial" w:hAnsi="Arial" w:cs="Arial"/>
          <w:szCs w:val="22"/>
        </w:rPr>
      </w:pPr>
      <w:r w:rsidRPr="00146C6A">
        <w:rPr>
          <w:rFonts w:ascii="Arial" w:hAnsi="Arial" w:cs="Arial"/>
          <w:szCs w:val="22"/>
        </w:rPr>
        <w:t>Support person/caregiver</w:t>
      </w:r>
    </w:p>
    <w:p w14:paraId="663EBFDD" w14:textId="77777777" w:rsidR="009F6E6E" w:rsidRPr="00146C6A" w:rsidRDefault="009F6E6E" w:rsidP="006D11A9">
      <w:pPr>
        <w:pStyle w:val="Bullets"/>
        <w:ind w:left="567" w:hanging="567"/>
        <w:rPr>
          <w:rFonts w:ascii="Arial" w:hAnsi="Arial" w:cs="Arial"/>
          <w:szCs w:val="22"/>
        </w:rPr>
      </w:pPr>
      <w:r w:rsidRPr="00146C6A">
        <w:rPr>
          <w:rFonts w:ascii="Arial" w:hAnsi="Arial" w:cs="Arial"/>
          <w:szCs w:val="22"/>
        </w:rPr>
        <w:t>Patient portals</w:t>
      </w:r>
    </w:p>
    <w:p w14:paraId="10538144" w14:textId="77777777" w:rsidR="009F6E6E" w:rsidRPr="00E045C0" w:rsidRDefault="00CF1416" w:rsidP="006D11A9">
      <w:pPr>
        <w:pStyle w:val="Bullets"/>
        <w:ind w:left="567" w:hanging="567"/>
        <w:rPr>
          <w:rFonts w:ascii="Arial" w:hAnsi="Arial" w:cs="Arial"/>
          <w:szCs w:val="22"/>
        </w:rPr>
      </w:pPr>
      <w:hyperlink r:id="rId68" w:history="1">
        <w:r w:rsidR="009F6E6E" w:rsidRPr="00E045C0">
          <w:rPr>
            <w:rFonts w:ascii="Arial" w:hAnsi="Arial" w:cs="Arial"/>
            <w:szCs w:val="22"/>
          </w:rPr>
          <w:t xml:space="preserve">Language Line </w:t>
        </w:r>
      </w:hyperlink>
    </w:p>
    <w:p w14:paraId="6E92CA78" w14:textId="77777777" w:rsidR="009F6E6E" w:rsidRPr="00E045C0" w:rsidRDefault="00CF1416" w:rsidP="006D11A9">
      <w:pPr>
        <w:pStyle w:val="Bullets"/>
        <w:ind w:left="567" w:hanging="567"/>
        <w:rPr>
          <w:rFonts w:ascii="Arial" w:hAnsi="Arial" w:cs="Arial"/>
          <w:szCs w:val="22"/>
        </w:rPr>
      </w:pPr>
      <w:hyperlink r:id="rId69" w:history="1">
        <w:r w:rsidR="009F6E6E" w:rsidRPr="00E045C0">
          <w:rPr>
            <w:rFonts w:ascii="Arial" w:hAnsi="Arial" w:cs="Arial"/>
            <w:szCs w:val="22"/>
          </w:rPr>
          <w:t>New Zealand Relay</w:t>
        </w:r>
        <w:r w:rsidR="009F6E6E" w:rsidRPr="00146C6A">
          <w:rPr>
            <w:rFonts w:ascii="Arial" w:hAnsi="Arial" w:cs="Arial"/>
            <w:szCs w:val="22"/>
          </w:rPr>
          <w:t xml:space="preserve"> service</w:t>
        </w:r>
      </w:hyperlink>
      <w:r w:rsidR="009F6E6E" w:rsidRPr="00146C6A">
        <w:rPr>
          <w:rFonts w:ascii="Arial" w:hAnsi="Arial" w:cs="Arial"/>
          <w:szCs w:val="22"/>
        </w:rPr>
        <w:t xml:space="preserve"> (including TTY = Teletypewriter)</w:t>
      </w:r>
    </w:p>
    <w:p w14:paraId="106E435A" w14:textId="4503A25E" w:rsidR="009F6E6E" w:rsidRPr="007E5EC1" w:rsidRDefault="009F6E6E" w:rsidP="007E5EC1">
      <w:pPr>
        <w:spacing w:before="240" w:after="120"/>
        <w:rPr>
          <w:rFonts w:cs="Arial"/>
          <w:i/>
          <w:color w:val="auto"/>
          <w:sz w:val="24"/>
        </w:rPr>
      </w:pPr>
      <w:r w:rsidRPr="007E5EC1">
        <w:rPr>
          <w:rFonts w:cs="Arial"/>
          <w:i/>
          <w:color w:val="auto"/>
          <w:sz w:val="24"/>
        </w:rPr>
        <w:t xml:space="preserve">Identify and address the needs of significant cultural groups within your practice </w:t>
      </w:r>
    </w:p>
    <w:p w14:paraId="711A7A95" w14:textId="77777777" w:rsidR="009F6E6E" w:rsidRPr="009F6E6E" w:rsidRDefault="009F6E6E" w:rsidP="00A17E2C">
      <w:pPr>
        <w:spacing w:after="120"/>
        <w:rPr>
          <w:rFonts w:cs="Arial"/>
          <w:color w:val="auto"/>
          <w:sz w:val="22"/>
          <w:szCs w:val="22"/>
        </w:rPr>
      </w:pPr>
      <w:r w:rsidRPr="009F6E6E">
        <w:rPr>
          <w:rFonts w:cs="Arial"/>
          <w:color w:val="auto"/>
          <w:sz w:val="22"/>
          <w:szCs w:val="22"/>
        </w:rPr>
        <w:t xml:space="preserve">Your practice will have an enrolled population peculiar to you, with its own make-up of different cultural groups. </w:t>
      </w:r>
    </w:p>
    <w:p w14:paraId="1FDD8A63" w14:textId="77777777" w:rsidR="009F6E6E" w:rsidRPr="009F6E6E" w:rsidRDefault="009F6E6E" w:rsidP="00A17E2C">
      <w:pPr>
        <w:spacing w:after="120"/>
        <w:rPr>
          <w:rFonts w:cs="Arial"/>
          <w:color w:val="auto"/>
          <w:sz w:val="22"/>
          <w:szCs w:val="22"/>
        </w:rPr>
      </w:pPr>
      <w:r w:rsidRPr="009F6E6E">
        <w:rPr>
          <w:rFonts w:cs="Arial"/>
          <w:color w:val="auto"/>
          <w:sz w:val="22"/>
          <w:szCs w:val="22"/>
        </w:rPr>
        <w:t xml:space="preserve">As health practitioners, the key is to determine those cultural connections by routinely asking about a patient’s ethnicity, hobbies, profession and other aspects of their life and by asking directly what things you need to be aware of that are important to them. In this way your practice can recognise, respect and make provision for the potential effects each culture may have them. </w:t>
      </w:r>
    </w:p>
    <w:p w14:paraId="1112ACF1" w14:textId="77777777" w:rsidR="009F6E6E" w:rsidRPr="009F6E6E" w:rsidRDefault="009F6E6E" w:rsidP="00A17E2C">
      <w:pPr>
        <w:spacing w:after="120"/>
        <w:rPr>
          <w:rFonts w:cs="Arial"/>
          <w:color w:val="auto"/>
          <w:sz w:val="22"/>
          <w:szCs w:val="22"/>
        </w:rPr>
      </w:pPr>
      <w:r w:rsidRPr="009F6E6E">
        <w:rPr>
          <w:rFonts w:cs="Arial"/>
          <w:color w:val="auto"/>
          <w:sz w:val="22"/>
          <w:szCs w:val="22"/>
        </w:rPr>
        <w:t xml:space="preserve">It is important that you implement specific practice-wide activities to identify and address the needs of the significant cultural groups within your practice. Your staff should be able to demonstrate and describe these. </w:t>
      </w:r>
    </w:p>
    <w:p w14:paraId="14815D24" w14:textId="77777777" w:rsidR="009F6E6E" w:rsidRPr="009F6E6E" w:rsidRDefault="009F6E6E" w:rsidP="001B29D5">
      <w:pPr>
        <w:rPr>
          <w:rFonts w:cs="Arial"/>
          <w:color w:val="auto"/>
          <w:sz w:val="22"/>
          <w:szCs w:val="22"/>
        </w:rPr>
      </w:pPr>
      <w:r w:rsidRPr="009F6E6E">
        <w:rPr>
          <w:rFonts w:cs="Arial"/>
          <w:color w:val="auto"/>
          <w:sz w:val="22"/>
          <w:szCs w:val="22"/>
        </w:rPr>
        <w:t xml:space="preserve">You could consider: </w:t>
      </w:r>
    </w:p>
    <w:p w14:paraId="41DEDB69" w14:textId="3AEE1EE4" w:rsidR="009F6E6E" w:rsidRPr="00146C6A" w:rsidRDefault="00A17E2C" w:rsidP="006D11A9">
      <w:pPr>
        <w:pStyle w:val="Bullets"/>
        <w:ind w:left="567" w:hanging="567"/>
        <w:rPr>
          <w:rFonts w:ascii="Arial" w:hAnsi="Arial" w:cs="Arial"/>
          <w:szCs w:val="22"/>
        </w:rPr>
      </w:pPr>
      <w:r w:rsidRPr="00146C6A">
        <w:rPr>
          <w:rFonts w:ascii="Arial" w:hAnsi="Arial" w:cs="Arial"/>
          <w:szCs w:val="22"/>
        </w:rPr>
        <w:t>P</w:t>
      </w:r>
      <w:r w:rsidR="009F6E6E" w:rsidRPr="00146C6A">
        <w:rPr>
          <w:rFonts w:ascii="Arial" w:hAnsi="Arial" w:cs="Arial"/>
          <w:szCs w:val="22"/>
        </w:rPr>
        <w:t>osters and leaflets in other languages (these may be available through your DHB)</w:t>
      </w:r>
      <w:r w:rsidR="00146C6A">
        <w:rPr>
          <w:rFonts w:ascii="Arial" w:hAnsi="Arial" w:cs="Arial"/>
          <w:szCs w:val="22"/>
        </w:rPr>
        <w:t>.</w:t>
      </w:r>
      <w:r w:rsidR="009F6E6E" w:rsidRPr="00146C6A">
        <w:rPr>
          <w:rFonts w:ascii="Arial" w:hAnsi="Arial" w:cs="Arial"/>
          <w:szCs w:val="22"/>
        </w:rPr>
        <w:t xml:space="preserve"> </w:t>
      </w:r>
    </w:p>
    <w:p w14:paraId="1D9420DD" w14:textId="5C23E1E6" w:rsidR="009F6E6E" w:rsidRPr="00146C6A" w:rsidRDefault="00A17E2C" w:rsidP="006D11A9">
      <w:pPr>
        <w:pStyle w:val="Bullets"/>
        <w:ind w:left="567" w:hanging="567"/>
        <w:rPr>
          <w:rFonts w:ascii="Arial" w:hAnsi="Arial" w:cs="Arial"/>
          <w:szCs w:val="22"/>
        </w:rPr>
      </w:pPr>
      <w:r w:rsidRPr="00146C6A">
        <w:rPr>
          <w:rFonts w:ascii="Arial" w:hAnsi="Arial" w:cs="Arial"/>
          <w:szCs w:val="22"/>
        </w:rPr>
        <w:t>E</w:t>
      </w:r>
      <w:r w:rsidR="009F6E6E" w:rsidRPr="00146C6A">
        <w:rPr>
          <w:rFonts w:ascii="Arial" w:hAnsi="Arial" w:cs="Arial"/>
          <w:szCs w:val="22"/>
        </w:rPr>
        <w:t>vening or weekend clinics for working parents</w:t>
      </w:r>
      <w:r w:rsidR="00146C6A">
        <w:rPr>
          <w:rFonts w:ascii="Arial" w:hAnsi="Arial" w:cs="Arial"/>
          <w:szCs w:val="22"/>
        </w:rPr>
        <w:t>.</w:t>
      </w:r>
    </w:p>
    <w:p w14:paraId="56BD9055" w14:textId="679E22EC" w:rsidR="009F6E6E" w:rsidRPr="00146C6A" w:rsidRDefault="00A17E2C" w:rsidP="006D11A9">
      <w:pPr>
        <w:pStyle w:val="Bullets"/>
        <w:ind w:left="567" w:hanging="567"/>
        <w:rPr>
          <w:rFonts w:ascii="Arial" w:hAnsi="Arial" w:cs="Arial"/>
          <w:szCs w:val="22"/>
        </w:rPr>
      </w:pPr>
      <w:r w:rsidRPr="00146C6A">
        <w:rPr>
          <w:rFonts w:ascii="Arial" w:hAnsi="Arial" w:cs="Arial"/>
          <w:szCs w:val="22"/>
        </w:rPr>
        <w:t>I</w:t>
      </w:r>
      <w:r w:rsidR="009F6E6E" w:rsidRPr="00146C6A">
        <w:rPr>
          <w:rFonts w:ascii="Arial" w:hAnsi="Arial" w:cs="Arial"/>
          <w:szCs w:val="22"/>
        </w:rPr>
        <w:t>nvolving patients (maybe on an advisory panel, or by focus group or surveys) and using their feedback to come up with ideas</w:t>
      </w:r>
      <w:r w:rsidR="00146C6A">
        <w:rPr>
          <w:rFonts w:ascii="Arial" w:hAnsi="Arial" w:cs="Arial"/>
          <w:szCs w:val="22"/>
        </w:rPr>
        <w:t>.</w:t>
      </w:r>
    </w:p>
    <w:p w14:paraId="10665E9C" w14:textId="052BD94C" w:rsidR="000221AF" w:rsidRDefault="009D07A3" w:rsidP="0099208D">
      <w:pPr>
        <w:spacing w:before="240" w:after="120"/>
        <w:rPr>
          <w:b/>
          <w:color w:val="auto"/>
          <w:sz w:val="22"/>
          <w:szCs w:val="22"/>
        </w:rPr>
      </w:pPr>
      <w:r w:rsidRPr="00356116">
        <w:rPr>
          <w:b/>
          <w:color w:val="auto"/>
          <w:sz w:val="22"/>
          <w:szCs w:val="22"/>
        </w:rPr>
        <w:t>Resources</w:t>
      </w:r>
    </w:p>
    <w:p w14:paraId="29CB5E4E" w14:textId="77777777" w:rsidR="0099208D" w:rsidRPr="00282173" w:rsidRDefault="00CF1416" w:rsidP="0024030C">
      <w:pPr>
        <w:pStyle w:val="Resourcelist"/>
        <w:spacing w:after="120"/>
        <w:rPr>
          <w:rStyle w:val="Hyperlink"/>
          <w:rFonts w:ascii="Arial" w:hAnsi="Arial" w:cs="Arial"/>
          <w:color w:val="0000FF"/>
        </w:rPr>
      </w:pPr>
      <w:hyperlink r:id="rId70" w:history="1">
        <w:r w:rsidR="0099208D" w:rsidRPr="00282173">
          <w:rPr>
            <w:rStyle w:val="Hyperlink"/>
            <w:rFonts w:ascii="Arial" w:hAnsi="Arial" w:cs="Arial"/>
            <w:color w:val="0000FF"/>
          </w:rPr>
          <w:t>Ministry of Health: Refugee health care: a handbook for health professionals; 2012</w:t>
        </w:r>
      </w:hyperlink>
    </w:p>
    <w:p w14:paraId="79EDAFB9" w14:textId="77777777" w:rsidR="0099208D" w:rsidRPr="00282173" w:rsidRDefault="0099208D" w:rsidP="0024030C">
      <w:pPr>
        <w:pStyle w:val="Resourcelist"/>
        <w:spacing w:after="120"/>
        <w:rPr>
          <w:rStyle w:val="Hyperlink"/>
          <w:rFonts w:ascii="Arial" w:hAnsi="Arial" w:cs="Arial"/>
          <w:color w:val="0000FF"/>
        </w:rPr>
      </w:pPr>
      <w:r w:rsidRPr="00282173">
        <w:rPr>
          <w:rStyle w:val="Hyperlink"/>
          <w:rFonts w:ascii="Arial" w:hAnsi="Arial" w:cs="Arial"/>
          <w:color w:val="0000FF"/>
        </w:rPr>
        <w:t>MCNZ</w:t>
      </w:r>
      <w:hyperlink r:id="rId71" w:history="1">
        <w:r w:rsidRPr="00282173">
          <w:rPr>
            <w:rStyle w:val="Hyperlink"/>
            <w:rFonts w:ascii="Arial" w:hAnsi="Arial" w:cs="Arial"/>
            <w:color w:val="0000FF"/>
          </w:rPr>
          <w:t>: Statement on cultural competence</w:t>
        </w:r>
      </w:hyperlink>
    </w:p>
    <w:p w14:paraId="2E7B40CC" w14:textId="4EAEB325" w:rsidR="0099208D" w:rsidRPr="00282173" w:rsidRDefault="0099208D" w:rsidP="0024030C">
      <w:pPr>
        <w:pStyle w:val="Resourcelist"/>
        <w:spacing w:after="120"/>
        <w:rPr>
          <w:rStyle w:val="Hyperlink"/>
          <w:rFonts w:ascii="Arial" w:hAnsi="Arial" w:cs="Arial"/>
          <w:color w:val="0000FF"/>
        </w:rPr>
      </w:pPr>
      <w:r w:rsidRPr="00282173">
        <w:rPr>
          <w:rStyle w:val="Hyperlink"/>
          <w:rFonts w:ascii="Arial" w:hAnsi="Arial" w:cs="Arial"/>
          <w:color w:val="0000FF"/>
        </w:rPr>
        <w:t>MCNZ:</w:t>
      </w:r>
      <w:hyperlink r:id="rId72" w:history="1">
        <w:r w:rsidRPr="00282173">
          <w:rPr>
            <w:rStyle w:val="Hyperlink"/>
            <w:rFonts w:ascii="Arial" w:hAnsi="Arial" w:cs="Arial"/>
            <w:color w:val="0000FF"/>
          </w:rPr>
          <w:t xml:space="preserve"> Best health outcomes for</w:t>
        </w:r>
        <w:r w:rsidR="00647F84" w:rsidRPr="00282173">
          <w:rPr>
            <w:rStyle w:val="Hyperlink"/>
            <w:rFonts w:ascii="Arial" w:hAnsi="Arial" w:cs="Arial"/>
            <w:color w:val="0000FF"/>
          </w:rPr>
          <w:t xml:space="preserve"> Māori</w:t>
        </w:r>
      </w:hyperlink>
    </w:p>
    <w:p w14:paraId="49719DDD" w14:textId="77777777" w:rsidR="0099208D" w:rsidRPr="00282173" w:rsidRDefault="0099208D" w:rsidP="0024030C">
      <w:pPr>
        <w:pStyle w:val="Resourcelist"/>
        <w:spacing w:after="120"/>
        <w:rPr>
          <w:rStyle w:val="Hyperlink"/>
          <w:rFonts w:ascii="Arial" w:hAnsi="Arial" w:cs="Arial"/>
          <w:color w:val="0000FF"/>
        </w:rPr>
      </w:pPr>
      <w:r w:rsidRPr="00282173">
        <w:rPr>
          <w:rStyle w:val="Hyperlink"/>
          <w:rFonts w:ascii="Arial" w:hAnsi="Arial" w:cs="Arial"/>
          <w:color w:val="0000FF"/>
        </w:rPr>
        <w:t>MCNZ:</w:t>
      </w:r>
      <w:hyperlink r:id="rId73" w:history="1">
        <w:r w:rsidRPr="00282173">
          <w:rPr>
            <w:rStyle w:val="Hyperlink"/>
            <w:rFonts w:ascii="Arial" w:hAnsi="Arial" w:cs="Arial"/>
            <w:color w:val="0000FF"/>
          </w:rPr>
          <w:t xml:space="preserve"> Best health outcomes for Pacific Peoples: practice implications</w:t>
        </w:r>
      </w:hyperlink>
    </w:p>
    <w:p w14:paraId="26C1F344" w14:textId="77777777" w:rsidR="0099208D" w:rsidRPr="00282173" w:rsidRDefault="00CF1416" w:rsidP="0024030C">
      <w:pPr>
        <w:pStyle w:val="Resourcelist"/>
        <w:spacing w:after="120"/>
        <w:rPr>
          <w:rStyle w:val="Hyperlink"/>
          <w:rFonts w:ascii="Arial" w:hAnsi="Arial" w:cs="Arial"/>
          <w:color w:val="0000FF"/>
        </w:rPr>
      </w:pPr>
      <w:hyperlink r:id="rId74" w:history="1">
        <w:r w:rsidR="0099208D" w:rsidRPr="00282173">
          <w:rPr>
            <w:rStyle w:val="Hyperlink"/>
            <w:rFonts w:ascii="Arial" w:hAnsi="Arial" w:cs="Arial"/>
            <w:color w:val="0000FF"/>
          </w:rPr>
          <w:t>Ministry of Health: Ethnicity data protocols for the health and disability sector</w:t>
        </w:r>
      </w:hyperlink>
    </w:p>
    <w:p w14:paraId="799E3238" w14:textId="469305AB" w:rsidR="0099208D" w:rsidRPr="00282173" w:rsidRDefault="00CF1416" w:rsidP="0024030C">
      <w:pPr>
        <w:pStyle w:val="Resourcelist"/>
        <w:spacing w:after="120"/>
        <w:rPr>
          <w:rStyle w:val="Hyperlink"/>
          <w:rFonts w:ascii="Arial" w:hAnsi="Arial" w:cs="Arial"/>
          <w:color w:val="0000FF"/>
        </w:rPr>
      </w:pPr>
      <w:hyperlink r:id="rId75" w:history="1">
        <w:r w:rsidR="0099208D" w:rsidRPr="00282173">
          <w:rPr>
            <w:rStyle w:val="Hyperlink"/>
            <w:rFonts w:ascii="Arial" w:hAnsi="Arial" w:cs="Arial"/>
            <w:color w:val="0000FF"/>
          </w:rPr>
          <w:t>eCALD training</w:t>
        </w:r>
      </w:hyperlink>
    </w:p>
    <w:p w14:paraId="44F9893A" w14:textId="4E197206" w:rsidR="0099208D" w:rsidRPr="00282173" w:rsidRDefault="00CF1416" w:rsidP="0024030C">
      <w:pPr>
        <w:pStyle w:val="Resourcelist"/>
        <w:spacing w:after="120"/>
        <w:rPr>
          <w:rStyle w:val="Hyperlink"/>
          <w:rFonts w:ascii="Arial" w:hAnsi="Arial" w:cs="Arial"/>
          <w:color w:val="0000FF"/>
        </w:rPr>
      </w:pPr>
      <w:hyperlink r:id="rId76" w:history="1">
        <w:r w:rsidR="0099208D" w:rsidRPr="00282173">
          <w:rPr>
            <w:rStyle w:val="Hyperlink"/>
            <w:rFonts w:ascii="Arial" w:hAnsi="Arial" w:cs="Arial"/>
            <w:color w:val="0000FF"/>
          </w:rPr>
          <w:t>Mauriora Health Education</w:t>
        </w:r>
        <w:r w:rsidR="00647F84" w:rsidRPr="00282173">
          <w:rPr>
            <w:rStyle w:val="Hyperlink"/>
            <w:rFonts w:ascii="Arial" w:hAnsi="Arial" w:cs="Arial"/>
            <w:color w:val="0000FF"/>
          </w:rPr>
          <w:t xml:space="preserve"> </w:t>
        </w:r>
        <w:r w:rsidR="00C80464" w:rsidRPr="00282173">
          <w:rPr>
            <w:rStyle w:val="Hyperlink"/>
            <w:rFonts w:ascii="Arial" w:hAnsi="Arial" w:cs="Arial"/>
            <w:color w:val="0000FF"/>
          </w:rPr>
          <w:t>Research</w:t>
        </w:r>
      </w:hyperlink>
    </w:p>
    <w:p w14:paraId="34124BB7" w14:textId="77777777" w:rsidR="0099208D" w:rsidRPr="00282173" w:rsidRDefault="00CF1416" w:rsidP="0024030C">
      <w:pPr>
        <w:pStyle w:val="Resourcelist"/>
        <w:spacing w:after="120"/>
        <w:rPr>
          <w:rStyle w:val="Hyperlink"/>
          <w:rFonts w:ascii="Arial" w:hAnsi="Arial" w:cs="Arial"/>
          <w:color w:val="0000FF"/>
        </w:rPr>
      </w:pPr>
      <w:hyperlink r:id="rId77" w:history="1">
        <w:r w:rsidR="0099208D" w:rsidRPr="00282173">
          <w:rPr>
            <w:rStyle w:val="Hyperlink"/>
            <w:rFonts w:ascii="Arial" w:hAnsi="Arial" w:cs="Arial"/>
            <w:color w:val="0000FF"/>
          </w:rPr>
          <w:t>Deaf Aotearoa</w:t>
        </w:r>
      </w:hyperlink>
    </w:p>
    <w:p w14:paraId="3CEF768F" w14:textId="77777777" w:rsidR="0099208D" w:rsidRPr="00282173" w:rsidRDefault="00CF1416" w:rsidP="0024030C">
      <w:pPr>
        <w:pStyle w:val="Resourcelist"/>
        <w:spacing w:after="120"/>
        <w:rPr>
          <w:rStyle w:val="Hyperlink"/>
          <w:rFonts w:ascii="Arial" w:hAnsi="Arial" w:cs="Arial"/>
          <w:color w:val="0000FF"/>
        </w:rPr>
      </w:pPr>
      <w:hyperlink r:id="rId78" w:history="1">
        <w:r w:rsidR="0099208D" w:rsidRPr="00282173">
          <w:rPr>
            <w:rStyle w:val="Hyperlink"/>
            <w:rFonts w:ascii="Arial" w:hAnsi="Arial" w:cs="Arial"/>
            <w:color w:val="0000FF"/>
          </w:rPr>
          <w:t>Health Navigator</w:t>
        </w:r>
      </w:hyperlink>
    </w:p>
    <w:p w14:paraId="49A425F0" w14:textId="77777777" w:rsidR="0099208D" w:rsidRPr="00282173" w:rsidRDefault="00CF1416" w:rsidP="0024030C">
      <w:pPr>
        <w:pStyle w:val="Resourcelist"/>
        <w:spacing w:after="120"/>
        <w:rPr>
          <w:rStyle w:val="Hyperlink"/>
          <w:rFonts w:ascii="Arial" w:hAnsi="Arial" w:cs="Arial"/>
          <w:color w:val="0000FF"/>
        </w:rPr>
      </w:pPr>
      <w:hyperlink r:id="rId79" w:history="1">
        <w:r w:rsidR="0099208D" w:rsidRPr="00282173">
          <w:rPr>
            <w:rStyle w:val="Hyperlink"/>
            <w:rFonts w:ascii="Arial" w:hAnsi="Arial" w:cs="Arial"/>
            <w:color w:val="0000FF"/>
          </w:rPr>
          <w:t>Department of Internal Affairs: Translation Service</w:t>
        </w:r>
      </w:hyperlink>
    </w:p>
    <w:p w14:paraId="395047CC" w14:textId="538C6195" w:rsidR="0099208D" w:rsidRPr="00282173" w:rsidRDefault="00CF1416" w:rsidP="0024030C">
      <w:pPr>
        <w:pStyle w:val="Resourcelist"/>
        <w:spacing w:after="120"/>
        <w:rPr>
          <w:rStyle w:val="Hyperlink"/>
          <w:rFonts w:ascii="Arial" w:hAnsi="Arial" w:cs="Arial"/>
          <w:color w:val="0000FF"/>
        </w:rPr>
      </w:pPr>
      <w:hyperlink r:id="rId80" w:history="1">
        <w:r w:rsidR="0099208D" w:rsidRPr="00282173">
          <w:rPr>
            <w:rStyle w:val="Hyperlink"/>
            <w:rFonts w:ascii="Arial" w:hAnsi="Arial" w:cs="Arial"/>
            <w:color w:val="0000FF"/>
          </w:rPr>
          <w:t>The Code of Health and Disability Services Consumers’ Rights 1996</w:t>
        </w:r>
      </w:hyperlink>
    </w:p>
    <w:p w14:paraId="57DF2E41" w14:textId="77777777" w:rsidR="0099208D" w:rsidRPr="00282173" w:rsidRDefault="00CF1416" w:rsidP="0024030C">
      <w:pPr>
        <w:pStyle w:val="Resourcelist"/>
        <w:spacing w:after="120"/>
        <w:rPr>
          <w:rStyle w:val="Hyperlink"/>
          <w:rFonts w:ascii="Arial" w:hAnsi="Arial" w:cs="Arial"/>
          <w:color w:val="0000FF"/>
        </w:rPr>
      </w:pPr>
      <w:hyperlink r:id="rId81" w:history="1">
        <w:r w:rsidR="0099208D" w:rsidRPr="00282173">
          <w:rPr>
            <w:rStyle w:val="Hyperlink"/>
            <w:rFonts w:ascii="Arial" w:hAnsi="Arial" w:cs="Arial"/>
            <w:color w:val="0000FF"/>
          </w:rPr>
          <w:t>New Zealand Society of Translators and Interpreters (NZSTI)</w:t>
        </w:r>
      </w:hyperlink>
    </w:p>
    <w:p w14:paraId="27FE68F4" w14:textId="141FFF0E" w:rsidR="0099208D" w:rsidRPr="00282173" w:rsidRDefault="00CF1416" w:rsidP="0024030C">
      <w:pPr>
        <w:pStyle w:val="Resourcelist"/>
        <w:spacing w:after="120"/>
        <w:rPr>
          <w:rStyle w:val="Hyperlink"/>
          <w:rFonts w:ascii="Arial" w:hAnsi="Arial" w:cs="Arial"/>
          <w:color w:val="0000FF"/>
        </w:rPr>
      </w:pPr>
      <w:hyperlink r:id="rId82" w:history="1">
        <w:r w:rsidR="00647F84" w:rsidRPr="00282173">
          <w:rPr>
            <w:rStyle w:val="Hyperlink"/>
            <w:rFonts w:ascii="Arial" w:hAnsi="Arial" w:cs="Arial"/>
            <w:color w:val="0000FF"/>
          </w:rPr>
          <w:t xml:space="preserve">The Office of </w:t>
        </w:r>
        <w:r w:rsidR="00984708" w:rsidRPr="00282173">
          <w:rPr>
            <w:rStyle w:val="Hyperlink"/>
            <w:rFonts w:ascii="Arial" w:hAnsi="Arial" w:cs="Arial"/>
            <w:color w:val="0000FF"/>
          </w:rPr>
          <w:t xml:space="preserve">ethnic </w:t>
        </w:r>
        <w:r w:rsidR="00C80464" w:rsidRPr="00282173">
          <w:rPr>
            <w:rStyle w:val="Hyperlink"/>
            <w:rFonts w:ascii="Arial" w:hAnsi="Arial" w:cs="Arial"/>
            <w:color w:val="0000FF"/>
          </w:rPr>
          <w:t>communities</w:t>
        </w:r>
        <w:r w:rsidR="00FA1512" w:rsidRPr="00282173">
          <w:rPr>
            <w:rStyle w:val="Hyperlink"/>
            <w:rFonts w:ascii="Arial" w:hAnsi="Arial" w:cs="Arial"/>
            <w:color w:val="0000FF"/>
          </w:rPr>
          <w:t>:</w:t>
        </w:r>
        <w:r w:rsidR="00984708" w:rsidRPr="00282173">
          <w:rPr>
            <w:rStyle w:val="Hyperlink"/>
            <w:rFonts w:ascii="Arial" w:hAnsi="Arial" w:cs="Arial"/>
            <w:color w:val="0000FF"/>
          </w:rPr>
          <w:t xml:space="preserve"> </w:t>
        </w:r>
        <w:r w:rsidR="0099208D" w:rsidRPr="00282173">
          <w:rPr>
            <w:rStyle w:val="Hyperlink"/>
            <w:rFonts w:ascii="Arial" w:hAnsi="Arial" w:cs="Arial"/>
            <w:color w:val="0000FF"/>
          </w:rPr>
          <w:t>Language Line</w:t>
        </w:r>
      </w:hyperlink>
      <w:r w:rsidR="0099208D" w:rsidRPr="00282173">
        <w:rPr>
          <w:rStyle w:val="Hyperlink"/>
          <w:rFonts w:ascii="Arial" w:hAnsi="Arial" w:cs="Arial"/>
          <w:color w:val="0000FF"/>
        </w:rPr>
        <w:t xml:space="preserve"> </w:t>
      </w:r>
    </w:p>
    <w:p w14:paraId="660D1D59" w14:textId="77777777" w:rsidR="0099208D" w:rsidRPr="00282173" w:rsidRDefault="00CF1416" w:rsidP="0024030C">
      <w:pPr>
        <w:pStyle w:val="Resourcelist"/>
        <w:spacing w:after="120"/>
        <w:rPr>
          <w:rStyle w:val="Hyperlink"/>
          <w:rFonts w:ascii="Arial" w:hAnsi="Arial" w:cs="Arial"/>
          <w:color w:val="0000FF"/>
        </w:rPr>
      </w:pPr>
      <w:hyperlink r:id="rId83" w:history="1">
        <w:r w:rsidR="0099208D" w:rsidRPr="00282173">
          <w:rPr>
            <w:rStyle w:val="Hyperlink"/>
            <w:rFonts w:ascii="Arial" w:hAnsi="Arial" w:cs="Arial"/>
            <w:color w:val="0000FF"/>
          </w:rPr>
          <w:t>New Zealand Relay service</w:t>
        </w:r>
      </w:hyperlink>
    </w:p>
    <w:p w14:paraId="202BCED4" w14:textId="50C4E69F" w:rsidR="0099208D" w:rsidRPr="00282173" w:rsidRDefault="00CF1416" w:rsidP="0024030C">
      <w:pPr>
        <w:pStyle w:val="Resourcelist"/>
        <w:spacing w:after="120"/>
        <w:rPr>
          <w:rStyle w:val="Hyperlink"/>
          <w:rFonts w:ascii="Arial" w:hAnsi="Arial" w:cs="Arial"/>
          <w:color w:val="0000FF"/>
        </w:rPr>
      </w:pPr>
      <w:hyperlink r:id="rId84" w:history="1">
        <w:r w:rsidR="00984708" w:rsidRPr="00282173">
          <w:rPr>
            <w:rStyle w:val="Hyperlink"/>
            <w:rFonts w:ascii="Arial" w:hAnsi="Arial" w:cs="Arial"/>
            <w:color w:val="0000FF"/>
          </w:rPr>
          <w:t>Auckland Regional Public Health Service</w:t>
        </w:r>
        <w:r w:rsidR="00FA1512" w:rsidRPr="00282173">
          <w:rPr>
            <w:rStyle w:val="Hyperlink"/>
            <w:rFonts w:ascii="Arial" w:hAnsi="Arial" w:cs="Arial"/>
            <w:color w:val="0000FF"/>
          </w:rPr>
          <w:t>:</w:t>
        </w:r>
        <w:r w:rsidR="00984708" w:rsidRPr="00282173">
          <w:rPr>
            <w:rStyle w:val="Hyperlink"/>
            <w:rFonts w:ascii="Arial" w:hAnsi="Arial" w:cs="Arial"/>
            <w:color w:val="0000FF"/>
          </w:rPr>
          <w:t xml:space="preserve"> Refugee Health</w:t>
        </w:r>
      </w:hyperlink>
      <w:r w:rsidR="00984708" w:rsidRPr="00282173">
        <w:rPr>
          <w:rStyle w:val="Hyperlink"/>
          <w:rFonts w:ascii="Arial" w:hAnsi="Arial" w:cs="Arial"/>
          <w:color w:val="0000FF"/>
        </w:rPr>
        <w:t xml:space="preserve"> </w:t>
      </w:r>
    </w:p>
    <w:p w14:paraId="4BAA5948" w14:textId="4A046635" w:rsidR="0099208D" w:rsidRPr="00282173" w:rsidRDefault="00CF1416" w:rsidP="0024030C">
      <w:pPr>
        <w:pStyle w:val="Resourcelist"/>
        <w:spacing w:after="120"/>
        <w:rPr>
          <w:rStyle w:val="Hyperlink"/>
          <w:rFonts w:ascii="Arial" w:hAnsi="Arial" w:cs="Arial"/>
          <w:color w:val="0000FF"/>
        </w:rPr>
      </w:pPr>
      <w:hyperlink r:id="rId85" w:history="1">
        <w:r w:rsidR="004717F3" w:rsidRPr="00282173">
          <w:rPr>
            <w:rStyle w:val="Hyperlink"/>
            <w:rFonts w:ascii="Arial" w:hAnsi="Arial" w:cs="Arial"/>
            <w:color w:val="0000FF"/>
          </w:rPr>
          <w:t>Health Quality &amp; Safety Commission</w:t>
        </w:r>
        <w:r w:rsidR="00FA1512" w:rsidRPr="00282173">
          <w:rPr>
            <w:rStyle w:val="Hyperlink"/>
            <w:rFonts w:ascii="Arial" w:hAnsi="Arial" w:cs="Arial"/>
            <w:color w:val="0000FF"/>
          </w:rPr>
          <w:t>:</w:t>
        </w:r>
        <w:r w:rsidR="004717F3" w:rsidRPr="00282173">
          <w:rPr>
            <w:rStyle w:val="Hyperlink"/>
            <w:rFonts w:ascii="Arial" w:hAnsi="Arial" w:cs="Arial"/>
            <w:color w:val="0000FF"/>
          </w:rPr>
          <w:t xml:space="preserve"> </w:t>
        </w:r>
        <w:r w:rsidR="0099208D" w:rsidRPr="00282173">
          <w:rPr>
            <w:rStyle w:val="Hyperlink"/>
            <w:rFonts w:ascii="Arial" w:hAnsi="Arial" w:cs="Arial"/>
            <w:color w:val="0000FF"/>
          </w:rPr>
          <w:t>Health Literacy</w:t>
        </w:r>
      </w:hyperlink>
    </w:p>
    <w:p w14:paraId="12D8C9C9" w14:textId="77777777" w:rsidR="007D5891" w:rsidRPr="00282173" w:rsidRDefault="00CF1416" w:rsidP="0024030C">
      <w:pPr>
        <w:pStyle w:val="Resourcelist"/>
        <w:spacing w:after="120"/>
        <w:rPr>
          <w:rStyle w:val="Hyperlink"/>
          <w:rFonts w:ascii="Arial" w:hAnsi="Arial" w:cs="Arial"/>
          <w:color w:val="0000FF"/>
        </w:rPr>
      </w:pPr>
      <w:hyperlink r:id="rId86" w:history="1">
        <w:r w:rsidR="00984708" w:rsidRPr="00282173">
          <w:rPr>
            <w:rStyle w:val="Hyperlink"/>
            <w:rFonts w:ascii="Arial" w:hAnsi="Arial" w:cs="Arial"/>
            <w:color w:val="0000FF"/>
          </w:rPr>
          <w:t>Be. Accessible</w:t>
        </w:r>
      </w:hyperlink>
    </w:p>
    <w:p w14:paraId="78714003" w14:textId="77777777" w:rsidR="00DE3B66" w:rsidRDefault="00DE3B66" w:rsidP="00AA0501">
      <w:pPr>
        <w:pStyle w:val="Heading1"/>
      </w:pPr>
      <w:bookmarkStart w:id="44" w:name="_Hlk4406354"/>
    </w:p>
    <w:p w14:paraId="58EAD094" w14:textId="77777777" w:rsidR="00DE3B66" w:rsidRDefault="00DE3B66" w:rsidP="00AA0501">
      <w:pPr>
        <w:pStyle w:val="Heading1"/>
      </w:pPr>
    </w:p>
    <w:p w14:paraId="07F9EE48" w14:textId="77777777" w:rsidR="00DE3B66" w:rsidRDefault="00DE3B66" w:rsidP="00AA0501">
      <w:pPr>
        <w:pStyle w:val="Heading1"/>
      </w:pPr>
    </w:p>
    <w:p w14:paraId="4BE2205B" w14:textId="77777777" w:rsidR="00DE3B66" w:rsidRDefault="00DE3B66" w:rsidP="00AA0501">
      <w:pPr>
        <w:pStyle w:val="Heading1"/>
      </w:pPr>
    </w:p>
    <w:p w14:paraId="48F40EA1" w14:textId="77777777" w:rsidR="00DE3B66" w:rsidRDefault="00DE3B66" w:rsidP="00AA0501">
      <w:pPr>
        <w:pStyle w:val="Heading1"/>
      </w:pPr>
    </w:p>
    <w:p w14:paraId="5F87766F" w14:textId="77777777" w:rsidR="00DE3B66" w:rsidRDefault="00DE3B66" w:rsidP="00AA0501">
      <w:pPr>
        <w:pStyle w:val="Heading1"/>
      </w:pPr>
    </w:p>
    <w:p w14:paraId="6262F229" w14:textId="77777777" w:rsidR="00DE3B66" w:rsidRDefault="00DE3B66" w:rsidP="00AA0501">
      <w:pPr>
        <w:pStyle w:val="Heading1"/>
      </w:pPr>
    </w:p>
    <w:p w14:paraId="20FFD939" w14:textId="77777777" w:rsidR="00DE3B66" w:rsidRDefault="00DE3B66" w:rsidP="00AA0501">
      <w:pPr>
        <w:pStyle w:val="Heading1"/>
      </w:pPr>
    </w:p>
    <w:p w14:paraId="50CD0D6E" w14:textId="77777777" w:rsidR="00DE3B66" w:rsidRDefault="00DE3B66" w:rsidP="00AA0501">
      <w:pPr>
        <w:pStyle w:val="Heading1"/>
      </w:pPr>
    </w:p>
    <w:p w14:paraId="16FC28B3" w14:textId="77777777" w:rsidR="00D0384D" w:rsidRDefault="00D0384D" w:rsidP="00AA0501">
      <w:pPr>
        <w:pStyle w:val="Heading1"/>
      </w:pPr>
    </w:p>
    <w:p w14:paraId="03C67729" w14:textId="77777777" w:rsidR="006E43E7" w:rsidRDefault="006E43E7" w:rsidP="00AA0501">
      <w:pPr>
        <w:pStyle w:val="Heading1"/>
      </w:pPr>
    </w:p>
    <w:p w14:paraId="041C24E4" w14:textId="77777777" w:rsidR="006E43E7" w:rsidRDefault="006E43E7" w:rsidP="00AA0501">
      <w:pPr>
        <w:pStyle w:val="Heading1"/>
      </w:pPr>
    </w:p>
    <w:p w14:paraId="4F5A4E01" w14:textId="77777777" w:rsidR="006E43E7" w:rsidRDefault="006E43E7" w:rsidP="00AA0501">
      <w:pPr>
        <w:pStyle w:val="Heading1"/>
      </w:pPr>
    </w:p>
    <w:p w14:paraId="08AC962B" w14:textId="77777777" w:rsidR="006E43E7" w:rsidRDefault="006E43E7" w:rsidP="00AA0501">
      <w:pPr>
        <w:pStyle w:val="Heading1"/>
      </w:pPr>
    </w:p>
    <w:p w14:paraId="31FC9B43" w14:textId="566F58C0" w:rsidR="00AA0501" w:rsidRDefault="00AA0501" w:rsidP="00AA0501">
      <w:pPr>
        <w:pStyle w:val="Heading1"/>
        <w:rPr>
          <w:b w:val="0"/>
        </w:rPr>
      </w:pPr>
      <w:bookmarkStart w:id="45" w:name="_Toc6998667"/>
      <w:r w:rsidRPr="000C6773">
        <w:t>Section</w:t>
      </w:r>
      <w:r w:rsidRPr="0055408F">
        <w:t xml:space="preserve"> </w:t>
      </w:r>
      <w:r>
        <w:t>6: P</w:t>
      </w:r>
      <w:r>
        <w:rPr>
          <w:rFonts w:cs="Arial"/>
        </w:rPr>
        <w:t>ā</w:t>
      </w:r>
      <w:r>
        <w:t>rong</w:t>
      </w:r>
      <w:r w:rsidR="003E0A55">
        <w:t>o</w:t>
      </w:r>
      <w:r>
        <w:t xml:space="preserve"> t</w:t>
      </w:r>
      <w:r>
        <w:rPr>
          <w:rFonts w:cs="Arial"/>
        </w:rPr>
        <w:t>ū</w:t>
      </w:r>
      <w:r>
        <w:t>roro</w:t>
      </w:r>
      <w:r w:rsidRPr="0055408F">
        <w:rPr>
          <w:b w:val="0"/>
        </w:rPr>
        <w:t xml:space="preserve"> | </w:t>
      </w:r>
      <w:r>
        <w:rPr>
          <w:b w:val="0"/>
        </w:rPr>
        <w:t>Patient information</w:t>
      </w:r>
      <w:bookmarkEnd w:id="45"/>
    </w:p>
    <w:bookmarkEnd w:id="44"/>
    <w:p w14:paraId="4AEDA90E" w14:textId="77777777" w:rsidR="00AA0501" w:rsidRDefault="00AA0501">
      <w:pPr>
        <w:spacing w:after="0"/>
        <w:rPr>
          <w:b/>
          <w:color w:val="EE7624"/>
          <w:sz w:val="28"/>
        </w:rPr>
      </w:pPr>
    </w:p>
    <w:p w14:paraId="572E573D" w14:textId="2425DF33" w:rsidR="00AA0501" w:rsidRDefault="00AA0501" w:rsidP="0099208D">
      <w:pPr>
        <w:spacing w:before="240" w:after="120"/>
        <w:rPr>
          <w:b/>
          <w:color w:val="EE7624"/>
          <w:sz w:val="28"/>
        </w:rPr>
      </w:pPr>
    </w:p>
    <w:p w14:paraId="5BF07394" w14:textId="77777777" w:rsidR="00AA0501" w:rsidRDefault="00AA0501">
      <w:pPr>
        <w:spacing w:after="0"/>
        <w:rPr>
          <w:b/>
          <w:color w:val="EE7624"/>
          <w:sz w:val="28"/>
        </w:rPr>
      </w:pPr>
      <w:r>
        <w:rPr>
          <w:b/>
          <w:color w:val="EE7624"/>
          <w:sz w:val="28"/>
        </w:rPr>
        <w:br w:type="page"/>
      </w:r>
    </w:p>
    <w:p w14:paraId="0B24F70A" w14:textId="30918D21" w:rsidR="00AA0501" w:rsidRDefault="00AA0501" w:rsidP="0099208D">
      <w:pPr>
        <w:spacing w:before="240" w:after="120"/>
        <w:rPr>
          <w:b/>
          <w:color w:val="EE7624"/>
          <w:sz w:val="28"/>
        </w:rPr>
      </w:pPr>
    </w:p>
    <w:p w14:paraId="2F267170" w14:textId="76451A67" w:rsidR="00632408" w:rsidRDefault="00FD696E" w:rsidP="006D11A9">
      <w:pPr>
        <w:pStyle w:val="HHLSubHeading"/>
        <w:numPr>
          <w:ilvl w:val="0"/>
          <w:numId w:val="0"/>
        </w:numPr>
        <w:tabs>
          <w:tab w:val="left" w:pos="1560"/>
        </w:tabs>
      </w:pPr>
      <w:bookmarkStart w:id="46" w:name="_Toc6998668"/>
      <w:r w:rsidRPr="00902640">
        <w:t xml:space="preserve">Indicator </w:t>
      </w:r>
      <w:r>
        <w:t>10</w:t>
      </w:r>
      <w:r w:rsidRPr="00902640">
        <w:t>.</w:t>
      </w:r>
      <w:r w:rsidR="006D11A9">
        <w:tab/>
      </w:r>
      <w:r w:rsidR="00632408">
        <w:t>Patient information system</w:t>
      </w:r>
      <w:bookmarkEnd w:id="46"/>
    </w:p>
    <w:p w14:paraId="285612FF" w14:textId="67C5ED1D" w:rsidR="00FD696E" w:rsidRPr="00632408" w:rsidRDefault="00FD696E" w:rsidP="00632408">
      <w:pPr>
        <w:pStyle w:val="HHLBodyText"/>
        <w:rPr>
          <w:b/>
        </w:rPr>
      </w:pPr>
      <w:r w:rsidRPr="00632408">
        <w:rPr>
          <w:b/>
        </w:rPr>
        <w:t xml:space="preserve">Our practice </w:t>
      </w:r>
      <w:r w:rsidR="001B1009" w:rsidRPr="00632408">
        <w:rPr>
          <w:b/>
        </w:rPr>
        <w:t>manages patient information in a secure electronic information system</w:t>
      </w:r>
      <w:r w:rsidRPr="0063240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538"/>
        <w:gridCol w:w="4052"/>
      </w:tblGrid>
      <w:tr w:rsidR="00FD696E" w:rsidRPr="002E71B3" w14:paraId="30F02D25" w14:textId="77777777" w:rsidTr="00370BA3">
        <w:tc>
          <w:tcPr>
            <w:tcW w:w="1153" w:type="dxa"/>
            <w:shd w:val="clear" w:color="auto" w:fill="FBD4B4" w:themeFill="accent6" w:themeFillTint="66"/>
          </w:tcPr>
          <w:p w14:paraId="0923996E" w14:textId="77777777" w:rsidR="00FD696E" w:rsidRPr="002E71B3" w:rsidRDefault="00FD696E" w:rsidP="008C2DB7">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35C1CDCE" w14:textId="77777777" w:rsidR="00FD696E" w:rsidRPr="002E71B3" w:rsidRDefault="00FD696E" w:rsidP="008C2DB7">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67011E31" w14:textId="5AC4A0DB" w:rsidR="00FD696E" w:rsidRPr="002E71B3" w:rsidRDefault="00FD696E" w:rsidP="008C2DB7">
            <w:pPr>
              <w:spacing w:before="120" w:after="120"/>
              <w:rPr>
                <w:b/>
                <w:color w:val="auto"/>
                <w:sz w:val="22"/>
                <w:szCs w:val="22"/>
              </w:rPr>
            </w:pPr>
            <w:r w:rsidRPr="002E71B3">
              <w:rPr>
                <w:b/>
                <w:color w:val="auto"/>
                <w:sz w:val="22"/>
                <w:szCs w:val="22"/>
              </w:rPr>
              <w:t>Required evidence</w:t>
            </w:r>
          </w:p>
        </w:tc>
      </w:tr>
      <w:tr w:rsidR="00FD696E" w:rsidRPr="002E71B3" w14:paraId="69386D7B" w14:textId="77777777" w:rsidTr="00370BA3">
        <w:tc>
          <w:tcPr>
            <w:tcW w:w="1153" w:type="dxa"/>
          </w:tcPr>
          <w:p w14:paraId="0900BB23" w14:textId="52FEBBBD" w:rsidR="00FD696E" w:rsidRPr="000F513E" w:rsidRDefault="001B1009" w:rsidP="008C2DB7">
            <w:pPr>
              <w:spacing w:before="60"/>
              <w:rPr>
                <w:color w:val="auto"/>
                <w:sz w:val="22"/>
                <w:szCs w:val="22"/>
              </w:rPr>
            </w:pPr>
            <w:r>
              <w:rPr>
                <w:color w:val="auto"/>
                <w:sz w:val="22"/>
                <w:szCs w:val="22"/>
              </w:rPr>
              <w:t>10</w:t>
            </w:r>
            <w:r w:rsidR="00FD696E" w:rsidRPr="000F513E">
              <w:rPr>
                <w:color w:val="auto"/>
                <w:sz w:val="22"/>
                <w:szCs w:val="22"/>
              </w:rPr>
              <w:t>.1</w:t>
            </w:r>
          </w:p>
        </w:tc>
        <w:tc>
          <w:tcPr>
            <w:tcW w:w="4568" w:type="dxa"/>
          </w:tcPr>
          <w:p w14:paraId="3C0FBBFF" w14:textId="531B2842" w:rsidR="00FD696E" w:rsidRPr="004662A2" w:rsidRDefault="00B644B1" w:rsidP="008C2DB7">
            <w:pPr>
              <w:spacing w:before="60"/>
              <w:rPr>
                <w:rFonts w:cs="Arial"/>
                <w:color w:val="auto"/>
                <w:sz w:val="22"/>
                <w:szCs w:val="22"/>
              </w:rPr>
            </w:pPr>
            <w:r>
              <w:rPr>
                <w:rFonts w:cs="Arial"/>
                <w:color w:val="auto"/>
                <w:sz w:val="22"/>
                <w:szCs w:val="22"/>
              </w:rPr>
              <w:t xml:space="preserve">Securely manage </w:t>
            </w:r>
            <w:r w:rsidR="00DE02B0">
              <w:rPr>
                <w:rFonts w:cs="Arial"/>
                <w:color w:val="auto"/>
                <w:sz w:val="22"/>
                <w:szCs w:val="22"/>
              </w:rPr>
              <w:t xml:space="preserve">the use and security of </w:t>
            </w:r>
            <w:r>
              <w:rPr>
                <w:rFonts w:cs="Arial"/>
                <w:color w:val="auto"/>
                <w:sz w:val="22"/>
                <w:szCs w:val="22"/>
              </w:rPr>
              <w:t>patient</w:t>
            </w:r>
            <w:r w:rsidR="0006126A">
              <w:rPr>
                <w:rFonts w:cs="Arial"/>
                <w:color w:val="auto"/>
                <w:sz w:val="22"/>
                <w:szCs w:val="22"/>
              </w:rPr>
              <w:t xml:space="preserve"> </w:t>
            </w:r>
            <w:r w:rsidR="0006126A" w:rsidRPr="00CC1336">
              <w:rPr>
                <w:rFonts w:cs="Arial"/>
                <w:color w:val="auto"/>
                <w:sz w:val="22"/>
                <w:szCs w:val="22"/>
              </w:rPr>
              <w:t>health information</w:t>
            </w:r>
            <w:r w:rsidR="00DE02B0">
              <w:rPr>
                <w:rFonts w:cs="Arial"/>
                <w:color w:val="auto"/>
                <w:sz w:val="22"/>
                <w:szCs w:val="22"/>
              </w:rPr>
              <w:t xml:space="preserve"> including having </w:t>
            </w:r>
            <w:r w:rsidR="00DE02B0" w:rsidRPr="00CC1336">
              <w:rPr>
                <w:rFonts w:cs="Arial"/>
                <w:color w:val="auto"/>
                <w:sz w:val="22"/>
                <w:szCs w:val="22"/>
              </w:rPr>
              <w:t xml:space="preserve">a practice policy </w:t>
            </w:r>
            <w:r w:rsidR="00DE02B0">
              <w:rPr>
                <w:rFonts w:cs="Arial"/>
                <w:color w:val="auto"/>
                <w:sz w:val="22"/>
                <w:szCs w:val="22"/>
              </w:rPr>
              <w:t>aligned to Health Information Security Framework standard HISO 10029:2015</w:t>
            </w:r>
            <w:r w:rsidR="0006126A" w:rsidRPr="00CC1336">
              <w:rPr>
                <w:rFonts w:cs="Arial"/>
                <w:color w:val="auto"/>
                <w:sz w:val="22"/>
                <w:szCs w:val="22"/>
              </w:rPr>
              <w:t>.</w:t>
            </w:r>
          </w:p>
        </w:tc>
        <w:tc>
          <w:tcPr>
            <w:tcW w:w="4075" w:type="dxa"/>
          </w:tcPr>
          <w:p w14:paraId="5D1E29DA" w14:textId="6A40DF71" w:rsidR="00FD696E" w:rsidRPr="00CC1336" w:rsidRDefault="00CC1336" w:rsidP="008C2DB7">
            <w:pPr>
              <w:spacing w:before="60"/>
              <w:rPr>
                <w:color w:val="auto"/>
                <w:sz w:val="22"/>
                <w:szCs w:val="22"/>
              </w:rPr>
            </w:pPr>
            <w:r>
              <w:rPr>
                <w:color w:val="auto"/>
                <w:sz w:val="22"/>
                <w:szCs w:val="22"/>
              </w:rPr>
              <w:t xml:space="preserve">A </w:t>
            </w:r>
            <w:r w:rsidR="0009734F">
              <w:rPr>
                <w:color w:val="auto"/>
                <w:sz w:val="22"/>
                <w:szCs w:val="22"/>
              </w:rPr>
              <w:t xml:space="preserve">documented </w:t>
            </w:r>
            <w:r w:rsidR="00BD3AE6">
              <w:rPr>
                <w:color w:val="auto"/>
                <w:sz w:val="22"/>
                <w:szCs w:val="22"/>
              </w:rPr>
              <w:t>Patient Information P</w:t>
            </w:r>
            <w:r>
              <w:rPr>
                <w:color w:val="auto"/>
                <w:sz w:val="22"/>
                <w:szCs w:val="22"/>
              </w:rPr>
              <w:t>olicy</w:t>
            </w:r>
            <w:r w:rsidR="00B80763">
              <w:rPr>
                <w:color w:val="auto"/>
                <w:sz w:val="22"/>
                <w:szCs w:val="22"/>
              </w:rPr>
              <w:t xml:space="preserve"> and</w:t>
            </w:r>
            <w:r w:rsidR="00B644B1">
              <w:rPr>
                <w:color w:val="auto"/>
                <w:sz w:val="22"/>
                <w:szCs w:val="22"/>
              </w:rPr>
              <w:t xml:space="preserve"> </w:t>
            </w:r>
            <w:r w:rsidR="00BD3AE6">
              <w:rPr>
                <w:color w:val="auto"/>
                <w:sz w:val="22"/>
                <w:szCs w:val="22"/>
              </w:rPr>
              <w:t>P</w:t>
            </w:r>
            <w:r w:rsidR="00B644B1">
              <w:rPr>
                <w:color w:val="auto"/>
                <w:sz w:val="22"/>
                <w:szCs w:val="22"/>
              </w:rPr>
              <w:t>rocedure</w:t>
            </w:r>
            <w:r w:rsidR="00505603">
              <w:rPr>
                <w:color w:val="auto"/>
                <w:sz w:val="22"/>
                <w:szCs w:val="22"/>
              </w:rPr>
              <w:t>s</w:t>
            </w:r>
            <w:r w:rsidR="00BD3AE6">
              <w:rPr>
                <w:color w:val="auto"/>
                <w:sz w:val="22"/>
                <w:szCs w:val="22"/>
              </w:rPr>
              <w:t>.</w:t>
            </w:r>
          </w:p>
        </w:tc>
      </w:tr>
      <w:tr w:rsidR="00DE02B0" w:rsidRPr="002E71B3" w14:paraId="5D3789A9" w14:textId="77777777" w:rsidTr="00370BA3">
        <w:tc>
          <w:tcPr>
            <w:tcW w:w="1153" w:type="dxa"/>
          </w:tcPr>
          <w:p w14:paraId="246A39E6" w14:textId="283A54D3" w:rsidR="00DE02B0" w:rsidRDefault="00DE02B0" w:rsidP="00DE02B0">
            <w:pPr>
              <w:spacing w:before="60"/>
              <w:rPr>
                <w:color w:val="auto"/>
                <w:sz w:val="22"/>
                <w:szCs w:val="22"/>
              </w:rPr>
            </w:pPr>
            <w:r>
              <w:rPr>
                <w:color w:val="auto"/>
                <w:sz w:val="22"/>
                <w:szCs w:val="22"/>
              </w:rPr>
              <w:t>10.2</w:t>
            </w:r>
          </w:p>
        </w:tc>
        <w:tc>
          <w:tcPr>
            <w:tcW w:w="4568" w:type="dxa"/>
          </w:tcPr>
          <w:p w14:paraId="1A3BEC06" w14:textId="4024990C" w:rsidR="00DE02B0" w:rsidRDefault="00DE02B0" w:rsidP="00DE02B0">
            <w:pPr>
              <w:spacing w:before="60"/>
              <w:rPr>
                <w:rFonts w:cs="Arial"/>
                <w:color w:val="auto"/>
                <w:sz w:val="22"/>
                <w:szCs w:val="22"/>
              </w:rPr>
            </w:pPr>
            <w:r>
              <w:rPr>
                <w:rFonts w:cs="Arial"/>
                <w:color w:val="auto"/>
                <w:sz w:val="22"/>
                <w:szCs w:val="22"/>
                <w:lang w:val="en-NZ"/>
              </w:rPr>
              <w:t>Formally appoint the role of Information Security Officer</w:t>
            </w:r>
            <w:r>
              <w:rPr>
                <w:rFonts w:cs="Arial"/>
                <w:color w:val="auto"/>
                <w:sz w:val="22"/>
                <w:szCs w:val="22"/>
              </w:rPr>
              <w:t>.</w:t>
            </w:r>
          </w:p>
        </w:tc>
        <w:tc>
          <w:tcPr>
            <w:tcW w:w="4075" w:type="dxa"/>
          </w:tcPr>
          <w:p w14:paraId="683E70CF" w14:textId="334F2087" w:rsidR="00370BA3" w:rsidRDefault="00370BA3" w:rsidP="00DE02B0">
            <w:pPr>
              <w:spacing w:before="60"/>
              <w:rPr>
                <w:color w:val="auto"/>
                <w:sz w:val="22"/>
                <w:szCs w:val="22"/>
                <w:lang w:val="en-NZ"/>
              </w:rPr>
            </w:pPr>
            <w:r>
              <w:rPr>
                <w:color w:val="auto"/>
                <w:sz w:val="22"/>
                <w:szCs w:val="22"/>
              </w:rPr>
              <w:t xml:space="preserve">A designated </w:t>
            </w:r>
            <w:r w:rsidR="00DE02B0">
              <w:rPr>
                <w:color w:val="auto"/>
                <w:sz w:val="22"/>
                <w:szCs w:val="22"/>
              </w:rPr>
              <w:t>Information Security Officer r</w:t>
            </w:r>
            <w:r w:rsidR="00DE02B0" w:rsidRPr="00A27348">
              <w:rPr>
                <w:color w:val="auto"/>
                <w:sz w:val="22"/>
                <w:szCs w:val="22"/>
              </w:rPr>
              <w:t xml:space="preserve">ole and responsibilities </w:t>
            </w:r>
            <w:r>
              <w:rPr>
                <w:color w:val="auto"/>
                <w:sz w:val="22"/>
                <w:szCs w:val="22"/>
              </w:rPr>
              <w:t xml:space="preserve">are </w:t>
            </w:r>
            <w:r w:rsidR="00DE02B0" w:rsidRPr="00A27348">
              <w:rPr>
                <w:color w:val="auto"/>
                <w:sz w:val="22"/>
                <w:szCs w:val="22"/>
              </w:rPr>
              <w:t xml:space="preserve">written into a position description </w:t>
            </w:r>
            <w:r>
              <w:rPr>
                <w:color w:val="auto"/>
                <w:sz w:val="22"/>
                <w:szCs w:val="22"/>
              </w:rPr>
              <w:t>and stated</w:t>
            </w:r>
            <w:r w:rsidR="00DE02B0" w:rsidRPr="00A27348">
              <w:rPr>
                <w:color w:val="auto"/>
                <w:sz w:val="22"/>
                <w:szCs w:val="22"/>
              </w:rPr>
              <w:t xml:space="preserve"> in the</w:t>
            </w:r>
            <w:r w:rsidR="00DE02B0">
              <w:rPr>
                <w:color w:val="auto"/>
                <w:sz w:val="22"/>
                <w:szCs w:val="22"/>
              </w:rPr>
              <w:t xml:space="preserve"> Patient Information Policy</w:t>
            </w:r>
            <w:r>
              <w:rPr>
                <w:color w:val="auto"/>
                <w:sz w:val="22"/>
                <w:szCs w:val="22"/>
              </w:rPr>
              <w:t>.</w:t>
            </w:r>
          </w:p>
          <w:p w14:paraId="07DA4FE4" w14:textId="6538F107" w:rsidR="00DE02B0" w:rsidRDefault="00DE02B0" w:rsidP="00DE02B0">
            <w:pPr>
              <w:spacing w:before="60"/>
              <w:rPr>
                <w:color w:val="auto"/>
                <w:sz w:val="22"/>
                <w:szCs w:val="22"/>
              </w:rPr>
            </w:pPr>
          </w:p>
        </w:tc>
      </w:tr>
      <w:tr w:rsidR="00DE02B0" w:rsidRPr="002E71B3" w14:paraId="08933206" w14:textId="77777777" w:rsidTr="00370BA3">
        <w:tc>
          <w:tcPr>
            <w:tcW w:w="1153" w:type="dxa"/>
          </w:tcPr>
          <w:p w14:paraId="34CCE6FE" w14:textId="64F5CA4F" w:rsidR="00DE02B0" w:rsidRPr="000F513E" w:rsidRDefault="00DE02B0" w:rsidP="00DE02B0">
            <w:pPr>
              <w:spacing w:before="60"/>
              <w:rPr>
                <w:color w:val="auto"/>
                <w:sz w:val="22"/>
                <w:szCs w:val="22"/>
              </w:rPr>
            </w:pPr>
            <w:r>
              <w:rPr>
                <w:color w:val="auto"/>
                <w:sz w:val="22"/>
                <w:szCs w:val="22"/>
              </w:rPr>
              <w:t>10</w:t>
            </w:r>
            <w:r w:rsidRPr="000F513E">
              <w:rPr>
                <w:color w:val="auto"/>
                <w:sz w:val="22"/>
                <w:szCs w:val="22"/>
              </w:rPr>
              <w:t>.</w:t>
            </w:r>
            <w:r>
              <w:rPr>
                <w:color w:val="auto"/>
                <w:sz w:val="22"/>
                <w:szCs w:val="22"/>
              </w:rPr>
              <w:t>3</w:t>
            </w:r>
          </w:p>
        </w:tc>
        <w:tc>
          <w:tcPr>
            <w:tcW w:w="4568" w:type="dxa"/>
          </w:tcPr>
          <w:p w14:paraId="33C679E9" w14:textId="2C2B30C1" w:rsidR="00DE02B0" w:rsidRPr="004662A2" w:rsidRDefault="002171F4" w:rsidP="00DE02B0">
            <w:pPr>
              <w:spacing w:before="60"/>
              <w:rPr>
                <w:rFonts w:cs="Arial"/>
                <w:color w:val="auto"/>
                <w:sz w:val="22"/>
                <w:szCs w:val="22"/>
              </w:rPr>
            </w:pPr>
            <w:r>
              <w:rPr>
                <w:rFonts w:cs="Arial"/>
                <w:color w:val="auto"/>
                <w:sz w:val="22"/>
                <w:szCs w:val="22"/>
                <w:lang w:val="en-NZ"/>
              </w:rPr>
              <w:t xml:space="preserve">Use a Patient Management System </w:t>
            </w:r>
            <w:r>
              <w:rPr>
                <w:rFonts w:cs="Arial"/>
                <w:color w:val="auto"/>
                <w:sz w:val="22"/>
                <w:szCs w:val="22"/>
              </w:rPr>
              <w:t>that is securely deployed</w:t>
            </w:r>
            <w:r w:rsidR="009E4775">
              <w:rPr>
                <w:rFonts w:cs="Arial"/>
                <w:color w:val="auto"/>
                <w:sz w:val="22"/>
                <w:szCs w:val="22"/>
              </w:rPr>
              <w:t xml:space="preserve">, </w:t>
            </w:r>
            <w:r>
              <w:rPr>
                <w:rFonts w:cs="Arial"/>
                <w:color w:val="auto"/>
                <w:sz w:val="22"/>
                <w:szCs w:val="22"/>
              </w:rPr>
              <w:t xml:space="preserve">backed up </w:t>
            </w:r>
            <w:r>
              <w:rPr>
                <w:rFonts w:cs="Arial"/>
                <w:color w:val="auto"/>
                <w:sz w:val="22"/>
                <w:szCs w:val="22"/>
                <w:lang w:val="en-NZ"/>
              </w:rPr>
              <w:t>daily and can be</w:t>
            </w:r>
            <w:r>
              <w:rPr>
                <w:rFonts w:cs="Arial"/>
                <w:color w:val="auto"/>
                <w:sz w:val="22"/>
                <w:szCs w:val="22"/>
              </w:rPr>
              <w:t xml:space="preserve"> restored.</w:t>
            </w:r>
          </w:p>
        </w:tc>
        <w:tc>
          <w:tcPr>
            <w:tcW w:w="4075" w:type="dxa"/>
          </w:tcPr>
          <w:p w14:paraId="3B0AC4D2" w14:textId="3B678224" w:rsidR="002171F4" w:rsidRPr="00370BA3" w:rsidRDefault="00370BA3" w:rsidP="00370BA3">
            <w:pPr>
              <w:spacing w:before="60"/>
              <w:rPr>
                <w:color w:val="auto"/>
                <w:sz w:val="22"/>
                <w:szCs w:val="22"/>
              </w:rPr>
            </w:pPr>
            <w:r w:rsidRPr="00370BA3">
              <w:rPr>
                <w:color w:val="auto"/>
                <w:sz w:val="22"/>
                <w:szCs w:val="22"/>
                <w:lang w:val="en-NZ"/>
              </w:rPr>
              <w:t>Demonstrat</w:t>
            </w:r>
            <w:r>
              <w:rPr>
                <w:color w:val="auto"/>
                <w:sz w:val="22"/>
                <w:szCs w:val="22"/>
                <w:lang w:val="en-NZ"/>
              </w:rPr>
              <w:t xml:space="preserve">e </w:t>
            </w:r>
            <w:r w:rsidR="002171F4" w:rsidRPr="00370BA3">
              <w:rPr>
                <w:color w:val="auto"/>
                <w:sz w:val="22"/>
                <w:szCs w:val="22"/>
                <w:lang w:val="en-NZ"/>
              </w:rPr>
              <w:t xml:space="preserve">how all patient information is securely stored.  </w:t>
            </w:r>
          </w:p>
          <w:p w14:paraId="272D88C1" w14:textId="53AA6D9A" w:rsidR="002171F4" w:rsidRPr="00370BA3" w:rsidRDefault="00C60C88" w:rsidP="00370BA3">
            <w:pPr>
              <w:spacing w:before="60"/>
              <w:rPr>
                <w:color w:val="auto"/>
                <w:sz w:val="22"/>
                <w:szCs w:val="22"/>
              </w:rPr>
            </w:pPr>
            <w:r w:rsidRPr="00370BA3">
              <w:rPr>
                <w:color w:val="auto"/>
                <w:sz w:val="22"/>
                <w:szCs w:val="22"/>
              </w:rPr>
              <w:t>Evidence of r</w:t>
            </w:r>
            <w:r w:rsidR="002171F4" w:rsidRPr="00370BA3">
              <w:rPr>
                <w:color w:val="auto"/>
                <w:sz w:val="22"/>
                <w:szCs w:val="22"/>
              </w:rPr>
              <w:t>egular verification reviews of the effectiveness, resilience and security of all systems, back-ups and policies.</w:t>
            </w:r>
          </w:p>
          <w:p w14:paraId="603FBF1A" w14:textId="4757E640" w:rsidR="00DE02B0" w:rsidRPr="00370BA3" w:rsidRDefault="002171F4" w:rsidP="00370BA3">
            <w:pPr>
              <w:spacing w:before="60"/>
              <w:rPr>
                <w:color w:val="auto"/>
                <w:sz w:val="22"/>
                <w:szCs w:val="22"/>
              </w:rPr>
            </w:pPr>
            <w:r w:rsidRPr="00370BA3">
              <w:rPr>
                <w:color w:val="auto"/>
                <w:sz w:val="22"/>
                <w:szCs w:val="22"/>
              </w:rPr>
              <w:t xml:space="preserve">A </w:t>
            </w:r>
            <w:hyperlink r:id="rId87" w:history="1">
              <w:r w:rsidRPr="00370BA3">
                <w:rPr>
                  <w:color w:val="auto"/>
                  <w:sz w:val="22"/>
                  <w:szCs w:val="22"/>
                </w:rPr>
                <w:t>General Practice I</w:t>
              </w:r>
              <w:r w:rsidR="00606DD3">
                <w:rPr>
                  <w:color w:val="auto"/>
                  <w:sz w:val="22"/>
                  <w:szCs w:val="22"/>
                </w:rPr>
                <w:t>nformation and Communication Technology (I</w:t>
              </w:r>
              <w:r w:rsidRPr="00370BA3">
                <w:rPr>
                  <w:color w:val="auto"/>
                  <w:sz w:val="22"/>
                  <w:szCs w:val="22"/>
                </w:rPr>
                <w:t>CT</w:t>
              </w:r>
              <w:r w:rsidR="00606DD3">
                <w:rPr>
                  <w:color w:val="auto"/>
                  <w:sz w:val="22"/>
                  <w:szCs w:val="22"/>
                </w:rPr>
                <w:t>)</w:t>
              </w:r>
              <w:r w:rsidRPr="00370BA3">
                <w:rPr>
                  <w:color w:val="auto"/>
                  <w:sz w:val="22"/>
                  <w:szCs w:val="22"/>
                </w:rPr>
                <w:t xml:space="preserve"> Security Checklist</w:t>
              </w:r>
            </w:hyperlink>
            <w:r w:rsidRPr="00370BA3">
              <w:rPr>
                <w:color w:val="auto"/>
                <w:sz w:val="22"/>
                <w:szCs w:val="22"/>
              </w:rPr>
              <w:t xml:space="preserve"> that has been completed </w:t>
            </w:r>
            <w:r w:rsidR="004F7F0F" w:rsidRPr="00370BA3">
              <w:rPr>
                <w:color w:val="auto"/>
                <w:sz w:val="22"/>
                <w:szCs w:val="22"/>
              </w:rPr>
              <w:t>in the last 6 months</w:t>
            </w:r>
            <w:r w:rsidRPr="00370BA3">
              <w:rPr>
                <w:color w:val="auto"/>
                <w:sz w:val="22"/>
                <w:szCs w:val="22"/>
              </w:rPr>
              <w:t>.</w:t>
            </w:r>
          </w:p>
        </w:tc>
      </w:tr>
    </w:tbl>
    <w:p w14:paraId="5C9BB2BF" w14:textId="33DE3C13" w:rsidR="00831A94" w:rsidRPr="005B2DE1" w:rsidRDefault="00831A94" w:rsidP="00831A94">
      <w:pPr>
        <w:pStyle w:val="HHLBodyText"/>
        <w:spacing w:before="240"/>
        <w:rPr>
          <w:b/>
          <w:sz w:val="22"/>
          <w:szCs w:val="22"/>
        </w:rPr>
      </w:pPr>
      <w:r w:rsidRPr="005B2DE1">
        <w:rPr>
          <w:b/>
          <w:sz w:val="22"/>
          <w:szCs w:val="22"/>
        </w:rPr>
        <w:t>Required training</w:t>
      </w:r>
    </w:p>
    <w:p w14:paraId="60F2CF52" w14:textId="1FC7FF9D" w:rsidR="005A264F" w:rsidRPr="00EF0A0E" w:rsidRDefault="006A028A"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Criteria.</w:t>
      </w:r>
      <w:r>
        <w:rPr>
          <w:sz w:val="22"/>
          <w:szCs w:val="22"/>
        </w:rPr>
        <w:t xml:space="preserve"> However, it should include all staff with access rights to information systems being trained on practice information security</w:t>
      </w:r>
      <w:r w:rsidR="00505603">
        <w:rPr>
          <w:sz w:val="22"/>
          <w:szCs w:val="22"/>
        </w:rPr>
        <w:t xml:space="preserve">, </w:t>
      </w:r>
      <w:r>
        <w:rPr>
          <w:sz w:val="22"/>
          <w:szCs w:val="22"/>
        </w:rPr>
        <w:t>privacy policies and standards.</w:t>
      </w:r>
    </w:p>
    <w:p w14:paraId="784C60F7" w14:textId="0C2109C5" w:rsidR="00FD696E" w:rsidRDefault="00FD696E" w:rsidP="00FD696E">
      <w:pPr>
        <w:pStyle w:val="HHLBodyText"/>
        <w:spacing w:before="240"/>
        <w:rPr>
          <w:b/>
          <w:sz w:val="22"/>
          <w:szCs w:val="22"/>
        </w:rPr>
      </w:pPr>
      <w:r w:rsidRPr="005B2DE1">
        <w:rPr>
          <w:b/>
          <w:sz w:val="22"/>
          <w:szCs w:val="22"/>
        </w:rPr>
        <w:t>Guidance notes</w:t>
      </w:r>
    </w:p>
    <w:p w14:paraId="59F82CDF" w14:textId="0D1F1846" w:rsidR="007B7347" w:rsidRDefault="007B7347" w:rsidP="007B7347">
      <w:pPr>
        <w:pStyle w:val="HHLBodyText"/>
        <w:spacing w:before="240"/>
        <w:rPr>
          <w:i/>
        </w:rPr>
      </w:pPr>
      <w:r>
        <w:rPr>
          <w:i/>
        </w:rPr>
        <w:t>Recording clinical information</w:t>
      </w:r>
    </w:p>
    <w:p w14:paraId="20DE5635" w14:textId="1624A97F" w:rsidR="007B7347" w:rsidRDefault="007B7347" w:rsidP="007B7347">
      <w:pPr>
        <w:spacing w:after="0"/>
        <w:rPr>
          <w:color w:val="auto"/>
          <w:sz w:val="22"/>
          <w:szCs w:val="22"/>
        </w:rPr>
      </w:pPr>
      <w:r>
        <w:rPr>
          <w:color w:val="auto"/>
          <w:sz w:val="22"/>
          <w:szCs w:val="22"/>
        </w:rPr>
        <w:t>Your practice must use an electronic Patient Management System (PMS)</w:t>
      </w:r>
      <w:r>
        <w:rPr>
          <w:color w:val="auto"/>
          <w:sz w:val="22"/>
          <w:szCs w:val="22"/>
          <w:lang w:val="en-NZ"/>
        </w:rPr>
        <w:t xml:space="preserve"> that meets the requirements for digital health </w:t>
      </w:r>
      <w:r w:rsidR="00856407">
        <w:rPr>
          <w:color w:val="auto"/>
          <w:sz w:val="22"/>
          <w:szCs w:val="22"/>
          <w:lang w:val="en-NZ"/>
        </w:rPr>
        <w:t>information</w:t>
      </w:r>
      <w:r>
        <w:rPr>
          <w:color w:val="auto"/>
          <w:sz w:val="22"/>
          <w:szCs w:val="22"/>
          <w:lang w:val="en-NZ"/>
        </w:rPr>
        <w:t xml:space="preserve"> security</w:t>
      </w:r>
      <w:r>
        <w:rPr>
          <w:color w:val="auto"/>
          <w:sz w:val="22"/>
          <w:szCs w:val="22"/>
        </w:rPr>
        <w:t>.</w:t>
      </w:r>
    </w:p>
    <w:p w14:paraId="0C9DF803" w14:textId="77777777" w:rsidR="007B7347" w:rsidRDefault="007B7347" w:rsidP="00CC6E4A">
      <w:pPr>
        <w:pStyle w:val="HHLBodyText"/>
        <w:spacing w:before="240"/>
        <w:rPr>
          <w:i/>
        </w:rPr>
      </w:pPr>
      <w:r>
        <w:rPr>
          <w:i/>
        </w:rPr>
        <w:t>General Practice ICT Security Checklist:</w:t>
      </w:r>
    </w:p>
    <w:p w14:paraId="23404CE1" w14:textId="0AFF01AA" w:rsidR="007B7347" w:rsidRDefault="007B7347" w:rsidP="007B7347">
      <w:pPr>
        <w:rPr>
          <w:color w:val="auto"/>
          <w:sz w:val="22"/>
          <w:szCs w:val="22"/>
        </w:rPr>
      </w:pPr>
      <w:r>
        <w:rPr>
          <w:color w:val="auto"/>
          <w:sz w:val="22"/>
          <w:szCs w:val="22"/>
          <w:lang w:val="en-NZ"/>
        </w:rPr>
        <w:t xml:space="preserve">This covers the essentials of digital security. The practice must meet these requirements and therefore should </w:t>
      </w:r>
      <w:r>
        <w:rPr>
          <w:color w:val="auto"/>
          <w:sz w:val="22"/>
          <w:szCs w:val="22"/>
        </w:rPr>
        <w:t>undertake both a self-assessment and quick independent assessment of the baseline ICT security within your practice. It is based on the baseline requirements discussed in the Health Information Security Framework.</w:t>
      </w:r>
      <w:r>
        <w:rPr>
          <w:color w:val="auto"/>
          <w:sz w:val="22"/>
          <w:szCs w:val="22"/>
          <w:lang w:val="en-NZ"/>
        </w:rPr>
        <w:t xml:space="preserve"> </w:t>
      </w:r>
      <w:r>
        <w:rPr>
          <w:color w:val="auto"/>
          <w:sz w:val="22"/>
          <w:szCs w:val="22"/>
        </w:rPr>
        <w:t xml:space="preserve">Click here for </w:t>
      </w:r>
      <w:hyperlink r:id="rId88" w:history="1">
        <w:r>
          <w:rPr>
            <w:rStyle w:val="Hyperlink"/>
            <w:color w:val="000000"/>
            <w:sz w:val="22"/>
            <w:szCs w:val="22"/>
          </w:rPr>
          <w:t>General Practice ICT Security Checklist</w:t>
        </w:r>
      </w:hyperlink>
    </w:p>
    <w:p w14:paraId="4CD0CD2C" w14:textId="25E0C77B" w:rsidR="00793487" w:rsidRDefault="00F9688A" w:rsidP="00CC6E4A">
      <w:pPr>
        <w:pStyle w:val="HHLBodyText"/>
        <w:spacing w:before="240"/>
        <w:rPr>
          <w:i/>
        </w:rPr>
      </w:pPr>
      <w:r>
        <w:rPr>
          <w:i/>
        </w:rPr>
        <w:t>Third party access</w:t>
      </w:r>
    </w:p>
    <w:p w14:paraId="754FD6C7" w14:textId="5BD28FA3" w:rsidR="00326641" w:rsidRPr="00326641" w:rsidRDefault="00326641" w:rsidP="00793487">
      <w:pPr>
        <w:pStyle w:val="HHLBodyText"/>
        <w:rPr>
          <w:sz w:val="22"/>
          <w:szCs w:val="22"/>
        </w:rPr>
      </w:pPr>
      <w:r w:rsidRPr="00326641">
        <w:rPr>
          <w:sz w:val="22"/>
          <w:szCs w:val="22"/>
        </w:rPr>
        <w:t>In order to ensure patient confidentiality c</w:t>
      </w:r>
      <w:r w:rsidR="00F9688A" w:rsidRPr="00326641">
        <w:rPr>
          <w:sz w:val="22"/>
          <w:szCs w:val="22"/>
        </w:rPr>
        <w:t xml:space="preserve">lear documentation is required from patients </w:t>
      </w:r>
      <w:r w:rsidRPr="00326641">
        <w:rPr>
          <w:sz w:val="22"/>
          <w:szCs w:val="22"/>
        </w:rPr>
        <w:t xml:space="preserve">for a third party (e.g. family member, spouse, or friend) to access records, results or request and/or collect prescriptions. </w:t>
      </w:r>
      <w:r w:rsidR="00C80464" w:rsidRPr="00326641">
        <w:rPr>
          <w:sz w:val="22"/>
          <w:szCs w:val="22"/>
        </w:rPr>
        <w:t>Discretion</w:t>
      </w:r>
      <w:r w:rsidRPr="00326641">
        <w:rPr>
          <w:sz w:val="22"/>
          <w:szCs w:val="22"/>
        </w:rPr>
        <w:t xml:space="preserve"> may be applied if the patient is incapacitated, cognitively or physically impaired, in difficult social circumstances or a child. Youth records should be reviewed to ensure their </w:t>
      </w:r>
      <w:r w:rsidR="00C80464" w:rsidRPr="00326641">
        <w:rPr>
          <w:sz w:val="22"/>
          <w:szCs w:val="22"/>
        </w:rPr>
        <w:t>confidentiality</w:t>
      </w:r>
      <w:r w:rsidRPr="00326641">
        <w:rPr>
          <w:sz w:val="22"/>
          <w:szCs w:val="22"/>
        </w:rPr>
        <w:t xml:space="preserve"> is maintained.</w:t>
      </w:r>
    </w:p>
    <w:p w14:paraId="70F67F0B" w14:textId="73EF8EE0" w:rsidR="00F435A1" w:rsidRPr="008C7966" w:rsidRDefault="00F435A1" w:rsidP="00DF7D1B">
      <w:pPr>
        <w:pStyle w:val="HHLBodyText"/>
        <w:spacing w:before="240"/>
        <w:rPr>
          <w:i/>
        </w:rPr>
      </w:pPr>
      <w:r w:rsidRPr="008C7966">
        <w:rPr>
          <w:i/>
        </w:rPr>
        <w:lastRenderedPageBreak/>
        <w:t>Protecting health information in your practice</w:t>
      </w:r>
    </w:p>
    <w:p w14:paraId="3B74BA70" w14:textId="54F273E5" w:rsidR="00F435A1" w:rsidRPr="00DF7D1B" w:rsidRDefault="00F435A1" w:rsidP="00F435A1">
      <w:pPr>
        <w:rPr>
          <w:color w:val="auto"/>
          <w:sz w:val="22"/>
          <w:szCs w:val="22"/>
        </w:rPr>
      </w:pPr>
      <w:r w:rsidRPr="00DF7D1B">
        <w:rPr>
          <w:color w:val="auto"/>
          <w:sz w:val="22"/>
          <w:szCs w:val="22"/>
        </w:rPr>
        <w:t>Rule 5 of the Health Information Privacy Code 1994 requires your practice to take reasonable security safeguards to protect health information. This means keeping the information safe from loss, as well as from unauthorised access, use, modification or disclosure.</w:t>
      </w:r>
    </w:p>
    <w:p w14:paraId="082134D4" w14:textId="77777777" w:rsidR="00F435A1" w:rsidRPr="00DD24D5" w:rsidRDefault="00F435A1" w:rsidP="00F435A1">
      <w:r w:rsidRPr="00DF7D1B">
        <w:rPr>
          <w:color w:val="auto"/>
          <w:sz w:val="22"/>
          <w:szCs w:val="22"/>
        </w:rPr>
        <w:t>To comply with rule 5 you’ll need to consider what risks there are for the health information you hold, make a plan to address those risks and do whatever is necessary to carry it out. You can use this to develop your policy for security of information.</w:t>
      </w:r>
    </w:p>
    <w:p w14:paraId="7CF47032" w14:textId="77777777" w:rsidR="00F435A1" w:rsidRPr="008C7966" w:rsidRDefault="00F435A1" w:rsidP="00DF7D1B">
      <w:pPr>
        <w:pStyle w:val="HHLBodyText"/>
        <w:spacing w:before="240"/>
        <w:rPr>
          <w:i/>
        </w:rPr>
      </w:pPr>
      <w:r w:rsidRPr="008C7966">
        <w:rPr>
          <w:i/>
        </w:rPr>
        <w:t>Security of electronic health information</w:t>
      </w:r>
    </w:p>
    <w:p w14:paraId="3678BF43" w14:textId="248BCCD0" w:rsidR="00F435A1" w:rsidRPr="00A22178" w:rsidRDefault="00290203" w:rsidP="00EB698D">
      <w:pPr>
        <w:spacing w:after="120"/>
        <w:rPr>
          <w:color w:val="auto"/>
          <w:sz w:val="22"/>
          <w:szCs w:val="22"/>
        </w:rPr>
      </w:pPr>
      <w:r w:rsidRPr="00A22178">
        <w:rPr>
          <w:color w:val="auto"/>
          <w:sz w:val="22"/>
          <w:szCs w:val="22"/>
        </w:rPr>
        <w:t xml:space="preserve">Most sensitive information in general practice is likely to be stored within your PMS therefore the electronic PMS must be </w:t>
      </w:r>
      <w:r>
        <w:rPr>
          <w:color w:val="auto"/>
          <w:sz w:val="22"/>
          <w:szCs w:val="22"/>
        </w:rPr>
        <w:t xml:space="preserve">deployed in an up-to-date, </w:t>
      </w:r>
      <w:r w:rsidRPr="00A22178">
        <w:rPr>
          <w:color w:val="auto"/>
          <w:sz w:val="22"/>
          <w:szCs w:val="22"/>
        </w:rPr>
        <w:t>secure</w:t>
      </w:r>
      <w:r>
        <w:rPr>
          <w:color w:val="auto"/>
          <w:sz w:val="22"/>
          <w:szCs w:val="22"/>
        </w:rPr>
        <w:t xml:space="preserve"> and fit-for-purpose IT environment</w:t>
      </w:r>
      <w:r w:rsidRPr="00A22178">
        <w:rPr>
          <w:color w:val="auto"/>
          <w:sz w:val="22"/>
          <w:szCs w:val="22"/>
        </w:rPr>
        <w:t xml:space="preserve">. </w:t>
      </w:r>
      <w:r w:rsidR="00F435A1" w:rsidRPr="00A22178">
        <w:rPr>
          <w:color w:val="auto"/>
          <w:sz w:val="22"/>
          <w:szCs w:val="22"/>
        </w:rPr>
        <w:t xml:space="preserve"> </w:t>
      </w:r>
    </w:p>
    <w:p w14:paraId="593EB08A" w14:textId="18C1F8DE" w:rsidR="00F435A1" w:rsidRPr="00A22178" w:rsidRDefault="00F435A1" w:rsidP="00EB698D">
      <w:pPr>
        <w:spacing w:after="120"/>
        <w:rPr>
          <w:color w:val="auto"/>
          <w:sz w:val="22"/>
          <w:szCs w:val="22"/>
        </w:rPr>
      </w:pPr>
      <w:r w:rsidRPr="00A22178">
        <w:rPr>
          <w:color w:val="auto"/>
          <w:sz w:val="22"/>
          <w:szCs w:val="22"/>
        </w:rPr>
        <w:t xml:space="preserve">Most </w:t>
      </w:r>
      <w:r w:rsidR="004E7923" w:rsidRPr="00A22178">
        <w:rPr>
          <w:color w:val="auto"/>
          <w:sz w:val="22"/>
          <w:szCs w:val="22"/>
        </w:rPr>
        <w:t xml:space="preserve">PMS </w:t>
      </w:r>
      <w:r w:rsidRPr="00A22178">
        <w:rPr>
          <w:color w:val="auto"/>
          <w:sz w:val="22"/>
          <w:szCs w:val="22"/>
        </w:rPr>
        <w:t>systems have a facility to assign roles to people, and to restrict the access of information at varying levels.</w:t>
      </w:r>
      <w:r w:rsidR="004E7923" w:rsidRPr="00A22178">
        <w:rPr>
          <w:color w:val="auto"/>
          <w:sz w:val="22"/>
          <w:szCs w:val="22"/>
        </w:rPr>
        <w:t xml:space="preserve"> </w:t>
      </w:r>
      <w:r w:rsidRPr="00A22178">
        <w:rPr>
          <w:color w:val="auto"/>
          <w:sz w:val="22"/>
          <w:szCs w:val="22"/>
        </w:rPr>
        <w:t>People with access to your PMS should be assigned an appropriate role based on their need within your practice. Custodial or cleaning staff should not have access to the PMS. Reception staff should only have access to the information that they need to do their jobs, which likely includes patient administration information but not clinical information.</w:t>
      </w:r>
      <w:r w:rsidR="00A22178" w:rsidRPr="00A22178">
        <w:rPr>
          <w:color w:val="auto"/>
          <w:sz w:val="22"/>
          <w:szCs w:val="22"/>
        </w:rPr>
        <w:t xml:space="preserve"> </w:t>
      </w:r>
      <w:r w:rsidRPr="00A22178">
        <w:rPr>
          <w:color w:val="auto"/>
          <w:sz w:val="22"/>
          <w:szCs w:val="22"/>
        </w:rPr>
        <w:t>By limiting the availability of patient health information, you limit the risk that it will be inadvertently or deliberately misused.</w:t>
      </w:r>
    </w:p>
    <w:p w14:paraId="06232CBB" w14:textId="2760A380" w:rsidR="00A22178" w:rsidRPr="00EB698D" w:rsidRDefault="00A22178" w:rsidP="00EB698D">
      <w:pPr>
        <w:spacing w:after="120"/>
        <w:rPr>
          <w:color w:val="auto"/>
          <w:sz w:val="22"/>
          <w:szCs w:val="22"/>
        </w:rPr>
      </w:pPr>
      <w:r w:rsidRPr="00EB698D">
        <w:rPr>
          <w:color w:val="auto"/>
          <w:sz w:val="22"/>
          <w:szCs w:val="22"/>
        </w:rPr>
        <w:t xml:space="preserve">It is </w:t>
      </w:r>
      <w:r w:rsidR="00EB698D" w:rsidRPr="00EB698D">
        <w:rPr>
          <w:color w:val="auto"/>
          <w:sz w:val="22"/>
          <w:szCs w:val="22"/>
        </w:rPr>
        <w:t xml:space="preserve">essential </w:t>
      </w:r>
      <w:r w:rsidRPr="00EB698D">
        <w:rPr>
          <w:color w:val="auto"/>
          <w:sz w:val="22"/>
          <w:szCs w:val="22"/>
        </w:rPr>
        <w:t xml:space="preserve">that </w:t>
      </w:r>
      <w:r w:rsidR="00EB698D" w:rsidRPr="00EB698D">
        <w:rPr>
          <w:color w:val="auto"/>
          <w:sz w:val="22"/>
          <w:szCs w:val="22"/>
        </w:rPr>
        <w:t xml:space="preserve">access to </w:t>
      </w:r>
      <w:r w:rsidRPr="00EB698D">
        <w:rPr>
          <w:color w:val="auto"/>
          <w:sz w:val="22"/>
          <w:szCs w:val="22"/>
        </w:rPr>
        <w:t>the</w:t>
      </w:r>
      <w:r w:rsidR="00290203">
        <w:rPr>
          <w:color w:val="auto"/>
          <w:sz w:val="22"/>
          <w:szCs w:val="22"/>
        </w:rPr>
        <w:t xml:space="preserve"> PMS</w:t>
      </w:r>
      <w:r w:rsidRPr="00EB698D">
        <w:rPr>
          <w:color w:val="auto"/>
          <w:sz w:val="22"/>
          <w:szCs w:val="22"/>
        </w:rPr>
        <w:t xml:space="preserve"> system </w:t>
      </w:r>
      <w:r w:rsidR="00EB698D" w:rsidRPr="00EB698D">
        <w:rPr>
          <w:color w:val="auto"/>
          <w:sz w:val="22"/>
          <w:szCs w:val="22"/>
        </w:rPr>
        <w:t xml:space="preserve">requires a personal </w:t>
      </w:r>
      <w:r w:rsidRPr="00EB698D">
        <w:rPr>
          <w:color w:val="auto"/>
          <w:sz w:val="22"/>
          <w:szCs w:val="22"/>
        </w:rPr>
        <w:t xml:space="preserve">password and </w:t>
      </w:r>
      <w:r w:rsidR="00EB698D" w:rsidRPr="00EB698D">
        <w:rPr>
          <w:color w:val="auto"/>
          <w:sz w:val="22"/>
          <w:szCs w:val="22"/>
        </w:rPr>
        <w:t xml:space="preserve">the system </w:t>
      </w:r>
      <w:r w:rsidRPr="00EB698D">
        <w:rPr>
          <w:color w:val="auto"/>
          <w:sz w:val="22"/>
          <w:szCs w:val="22"/>
        </w:rPr>
        <w:t>automatically require</w:t>
      </w:r>
      <w:r w:rsidR="00EB698D" w:rsidRPr="00EB698D">
        <w:rPr>
          <w:color w:val="auto"/>
          <w:sz w:val="22"/>
          <w:szCs w:val="22"/>
        </w:rPr>
        <w:t>s</w:t>
      </w:r>
      <w:r w:rsidRPr="00EB698D">
        <w:rPr>
          <w:color w:val="auto"/>
          <w:sz w:val="22"/>
          <w:szCs w:val="22"/>
        </w:rPr>
        <w:t xml:space="preserve"> a password to access the computer/terminal or the PMS after a period of inactivity (no more than 15 minutes). An alternative is Password-protected screensavers or other automated security applications This protects against unattended access to computers if staff forget to log off or walk away and are longer than they expect. Consider shorter timeout periods for computers in consultation rooms or other locations where patients may be left alone even for short periods of time</w:t>
      </w:r>
      <w:r w:rsidR="00EB698D">
        <w:rPr>
          <w:color w:val="auto"/>
          <w:sz w:val="22"/>
          <w:szCs w:val="22"/>
        </w:rPr>
        <w:t>.</w:t>
      </w:r>
    </w:p>
    <w:p w14:paraId="7AF9C27A" w14:textId="6BB3463A" w:rsidR="00F435A1" w:rsidRPr="00E9660E" w:rsidRDefault="00E9660E" w:rsidP="00F435A1">
      <w:pPr>
        <w:rPr>
          <w:color w:val="auto"/>
          <w:sz w:val="22"/>
          <w:szCs w:val="22"/>
        </w:rPr>
      </w:pPr>
      <w:r w:rsidRPr="00E9660E">
        <w:rPr>
          <w:color w:val="auto"/>
          <w:sz w:val="22"/>
          <w:szCs w:val="22"/>
        </w:rPr>
        <w:t>T</w:t>
      </w:r>
      <w:r w:rsidR="00F435A1" w:rsidRPr="00E9660E">
        <w:rPr>
          <w:color w:val="auto"/>
          <w:sz w:val="22"/>
          <w:szCs w:val="22"/>
        </w:rPr>
        <w:t>erminals and personal computers should be positioned so the screen cannot be seen by unauthorised personnel or patients.</w:t>
      </w:r>
    </w:p>
    <w:p w14:paraId="02D58543" w14:textId="77777777" w:rsidR="00F435A1" w:rsidRPr="008C7966" w:rsidRDefault="00F435A1" w:rsidP="00CC6E4A">
      <w:pPr>
        <w:pStyle w:val="HHLBodyText"/>
        <w:spacing w:before="240"/>
        <w:rPr>
          <w:i/>
        </w:rPr>
      </w:pPr>
      <w:r w:rsidRPr="008C7966">
        <w:rPr>
          <w:i/>
        </w:rPr>
        <w:t>Backup and retrieval system</w:t>
      </w:r>
    </w:p>
    <w:p w14:paraId="29E1714D" w14:textId="1C932E65" w:rsidR="008039D9" w:rsidRDefault="008039D9" w:rsidP="008039D9">
      <w:pPr>
        <w:spacing w:after="120"/>
        <w:rPr>
          <w:color w:val="auto"/>
          <w:sz w:val="22"/>
          <w:szCs w:val="22"/>
        </w:rPr>
      </w:pPr>
      <w:r>
        <w:rPr>
          <w:color w:val="auto"/>
          <w:sz w:val="22"/>
          <w:szCs w:val="22"/>
        </w:rPr>
        <w:t xml:space="preserve">A backup is a copy of some or all of the files and information stored on a system. The purpose of a backup is to be able to recover </w:t>
      </w:r>
      <w:r>
        <w:rPr>
          <w:color w:val="auto"/>
          <w:sz w:val="22"/>
          <w:szCs w:val="22"/>
          <w:lang w:val="en-NZ"/>
        </w:rPr>
        <w:t xml:space="preserve">all patient information stored in your computer </w:t>
      </w:r>
      <w:r w:rsidR="00856407">
        <w:rPr>
          <w:color w:val="auto"/>
          <w:sz w:val="22"/>
          <w:szCs w:val="22"/>
          <w:lang w:val="en-NZ"/>
        </w:rPr>
        <w:t>system.</w:t>
      </w:r>
      <w:r>
        <w:rPr>
          <w:color w:val="auto"/>
          <w:sz w:val="22"/>
          <w:szCs w:val="22"/>
        </w:rPr>
        <w:t xml:space="preserve"> </w:t>
      </w:r>
      <w:r>
        <w:rPr>
          <w:color w:val="auto"/>
          <w:sz w:val="22"/>
          <w:szCs w:val="22"/>
          <w:lang w:val="en-NZ"/>
        </w:rPr>
        <w:t>T</w:t>
      </w:r>
      <w:r>
        <w:rPr>
          <w:color w:val="auto"/>
          <w:sz w:val="22"/>
          <w:szCs w:val="22"/>
        </w:rPr>
        <w:t>his should always include the PMS database</w:t>
      </w:r>
      <w:r>
        <w:rPr>
          <w:color w:val="auto"/>
          <w:sz w:val="22"/>
          <w:szCs w:val="22"/>
          <w:lang w:val="en-NZ"/>
        </w:rPr>
        <w:t xml:space="preserve"> and other </w:t>
      </w:r>
      <w:r w:rsidR="00856407">
        <w:rPr>
          <w:color w:val="auto"/>
          <w:sz w:val="22"/>
          <w:szCs w:val="22"/>
          <w:lang w:val="en-NZ"/>
        </w:rPr>
        <w:t>patient</w:t>
      </w:r>
      <w:r>
        <w:rPr>
          <w:color w:val="auto"/>
          <w:sz w:val="22"/>
          <w:szCs w:val="22"/>
          <w:lang w:val="en-NZ"/>
        </w:rPr>
        <w:t xml:space="preserve"> information e.g. photos, scanned documents not in the PMS. It </w:t>
      </w:r>
      <w:r>
        <w:rPr>
          <w:color w:val="auto"/>
          <w:sz w:val="22"/>
          <w:szCs w:val="22"/>
        </w:rPr>
        <w:t>may also include other computer files contained on your system e.g. HR records, financial data, emails, business records.</w:t>
      </w:r>
    </w:p>
    <w:p w14:paraId="48C45191" w14:textId="77777777" w:rsidR="008039D9" w:rsidRDefault="008039D9" w:rsidP="008039D9">
      <w:pPr>
        <w:rPr>
          <w:color w:val="auto"/>
          <w:sz w:val="22"/>
          <w:szCs w:val="22"/>
          <w:lang w:val="en-NZ"/>
        </w:rPr>
      </w:pPr>
      <w:r>
        <w:rPr>
          <w:color w:val="auto"/>
          <w:sz w:val="22"/>
          <w:szCs w:val="22"/>
        </w:rPr>
        <w:t>Your practice must have (as a minimum) a system to backup essential electronic data on a daily basis (if not in real time). Taking a backup of your most important files at least every day is important. In the event of a catastrophic loss of your system (perhaps a fire to your building that destroys it or a computer virus that renders the files or system unusable), the backup is used to retrieve important information. Be aware that you will lose any information between the time you last have a backup of your system and when you wish to restore it.</w:t>
      </w:r>
      <w:r>
        <w:rPr>
          <w:color w:val="auto"/>
          <w:sz w:val="22"/>
          <w:szCs w:val="22"/>
          <w:lang w:val="en-NZ"/>
        </w:rPr>
        <w:t xml:space="preserve"> Best practice is a backup that allows restoration of the complete “in practice” computer system </w:t>
      </w:r>
    </w:p>
    <w:p w14:paraId="27DB3330" w14:textId="7FDB0667" w:rsidR="00F435A1" w:rsidRPr="00FF149B" w:rsidRDefault="00F435A1" w:rsidP="00FF149B">
      <w:pPr>
        <w:spacing w:before="120"/>
        <w:rPr>
          <w:color w:val="auto"/>
          <w:sz w:val="22"/>
          <w:szCs w:val="22"/>
        </w:rPr>
      </w:pPr>
      <w:r w:rsidRPr="00FF149B">
        <w:rPr>
          <w:color w:val="auto"/>
          <w:sz w:val="22"/>
          <w:szCs w:val="22"/>
        </w:rPr>
        <w:t>Holding a copy of your backups and files offsite (or using a secure online service) is important to protect against events such as fire or theft, where both the original files and backups could be compromised.</w:t>
      </w:r>
      <w:r w:rsidR="00FF149B" w:rsidRPr="00FF149B">
        <w:rPr>
          <w:color w:val="auto"/>
          <w:sz w:val="22"/>
          <w:szCs w:val="22"/>
        </w:rPr>
        <w:t xml:space="preserve"> </w:t>
      </w:r>
      <w:r w:rsidRPr="00FF149B">
        <w:rPr>
          <w:color w:val="auto"/>
          <w:sz w:val="22"/>
          <w:szCs w:val="22"/>
        </w:rPr>
        <w:t>Because your backups will almost always contain sensitive information, it is also important that the physical location in which the backups are being stored is secure</w:t>
      </w:r>
      <w:r w:rsidR="008039D9">
        <w:rPr>
          <w:color w:val="auto"/>
          <w:sz w:val="22"/>
          <w:szCs w:val="22"/>
        </w:rPr>
        <w:t xml:space="preserve"> and/or protected by secure password</w:t>
      </w:r>
      <w:r w:rsidRPr="00FF149B">
        <w:rPr>
          <w:color w:val="auto"/>
          <w:sz w:val="22"/>
          <w:szCs w:val="22"/>
        </w:rPr>
        <w:t>. Generally staff storing backups in their homes is not considered to be a secure way of keeping offsite backups. There may be issues with staff having the potential to lose the backups en</w:t>
      </w:r>
      <w:r w:rsidR="00856407">
        <w:rPr>
          <w:color w:val="auto"/>
          <w:sz w:val="22"/>
          <w:szCs w:val="22"/>
        </w:rPr>
        <w:t>-</w:t>
      </w:r>
      <w:r w:rsidRPr="00FF149B">
        <w:rPr>
          <w:color w:val="auto"/>
          <w:sz w:val="22"/>
          <w:szCs w:val="22"/>
        </w:rPr>
        <w:t>route to their home or having those backups stolen from their home. Both of these situations would compromise your information security. If you take physical backups, it is recommended that you use a professional service that can satisfy the requirement for secure transport and storage of those media.</w:t>
      </w:r>
    </w:p>
    <w:p w14:paraId="287DB5B9" w14:textId="77777777" w:rsidR="00135095" w:rsidRDefault="00F435A1" w:rsidP="00135095">
      <w:pPr>
        <w:spacing w:before="120"/>
        <w:rPr>
          <w:color w:val="auto"/>
          <w:sz w:val="22"/>
          <w:szCs w:val="22"/>
        </w:rPr>
      </w:pPr>
      <w:r w:rsidRPr="00FF149B">
        <w:rPr>
          <w:color w:val="auto"/>
          <w:sz w:val="22"/>
          <w:szCs w:val="22"/>
        </w:rPr>
        <w:lastRenderedPageBreak/>
        <w:t xml:space="preserve">You should </w:t>
      </w:r>
      <w:r w:rsidR="009D0DB4" w:rsidRPr="00FF149B">
        <w:rPr>
          <w:color w:val="auto"/>
          <w:sz w:val="22"/>
          <w:szCs w:val="22"/>
        </w:rPr>
        <w:t xml:space="preserve">regularly </w:t>
      </w:r>
      <w:r w:rsidRPr="00FF149B">
        <w:rPr>
          <w:color w:val="auto"/>
          <w:sz w:val="22"/>
          <w:szCs w:val="22"/>
        </w:rPr>
        <w:t xml:space="preserve">check that it is possible to retrieve and restore your systems to a safe working state. It is recommended that you do this when your backup method is first established and at </w:t>
      </w:r>
      <w:r w:rsidR="009D0DB4" w:rsidRPr="00FF149B">
        <w:rPr>
          <w:color w:val="auto"/>
          <w:sz w:val="22"/>
          <w:szCs w:val="22"/>
        </w:rPr>
        <w:t>other</w:t>
      </w:r>
      <w:r w:rsidRPr="00FF149B">
        <w:rPr>
          <w:color w:val="auto"/>
          <w:sz w:val="22"/>
          <w:szCs w:val="22"/>
        </w:rPr>
        <w:t xml:space="preserve"> </w:t>
      </w:r>
      <w:r w:rsidR="00C80464" w:rsidRPr="00FF149B">
        <w:rPr>
          <w:color w:val="auto"/>
          <w:sz w:val="22"/>
          <w:szCs w:val="22"/>
        </w:rPr>
        <w:t>times when</w:t>
      </w:r>
      <w:r w:rsidRPr="00FF149B">
        <w:rPr>
          <w:color w:val="auto"/>
          <w:sz w:val="22"/>
          <w:szCs w:val="22"/>
        </w:rPr>
        <w:t xml:space="preserve"> more than a minor change is made to that scheme.</w:t>
      </w:r>
      <w:r w:rsidR="00135095">
        <w:rPr>
          <w:color w:val="auto"/>
          <w:sz w:val="22"/>
          <w:szCs w:val="22"/>
        </w:rPr>
        <w:t xml:space="preserve"> </w:t>
      </w:r>
    </w:p>
    <w:p w14:paraId="5B212E97" w14:textId="1E015AF0" w:rsidR="00F435A1" w:rsidRPr="00135095" w:rsidRDefault="00F435A1" w:rsidP="00135095">
      <w:pPr>
        <w:spacing w:before="120"/>
        <w:rPr>
          <w:color w:val="auto"/>
          <w:sz w:val="22"/>
          <w:szCs w:val="22"/>
        </w:rPr>
      </w:pPr>
      <w:r w:rsidRPr="00135095">
        <w:rPr>
          <w:color w:val="auto"/>
          <w:sz w:val="22"/>
          <w:szCs w:val="22"/>
        </w:rPr>
        <w:t xml:space="preserve">Consider planning </w:t>
      </w:r>
      <w:r w:rsidR="009D0DB4" w:rsidRPr="00135095">
        <w:rPr>
          <w:color w:val="auto"/>
          <w:sz w:val="22"/>
          <w:szCs w:val="22"/>
        </w:rPr>
        <w:t xml:space="preserve">your </w:t>
      </w:r>
      <w:r w:rsidRPr="00135095">
        <w:rPr>
          <w:color w:val="auto"/>
          <w:sz w:val="22"/>
          <w:szCs w:val="22"/>
        </w:rPr>
        <w:t>backup</w:t>
      </w:r>
      <w:r w:rsidR="009D0DB4" w:rsidRPr="00135095">
        <w:rPr>
          <w:color w:val="auto"/>
          <w:sz w:val="22"/>
          <w:szCs w:val="22"/>
        </w:rPr>
        <w:t xml:space="preserve"> and restore</w:t>
      </w:r>
      <w:r w:rsidRPr="00135095">
        <w:rPr>
          <w:color w:val="auto"/>
          <w:sz w:val="22"/>
          <w:szCs w:val="22"/>
        </w:rPr>
        <w:t xml:space="preserve"> test in conjunction with a third-party IT provider.</w:t>
      </w:r>
      <w:r w:rsidR="00135095" w:rsidRPr="00135095">
        <w:rPr>
          <w:color w:val="auto"/>
          <w:sz w:val="22"/>
          <w:szCs w:val="22"/>
        </w:rPr>
        <w:t xml:space="preserve"> </w:t>
      </w:r>
      <w:r w:rsidRPr="00135095">
        <w:rPr>
          <w:color w:val="auto"/>
          <w:sz w:val="22"/>
          <w:szCs w:val="22"/>
        </w:rPr>
        <w:t xml:space="preserve">You would normally test the restoration process into an environment outside of your normal practice system (to simulate what may happen in a disaster situation). To undertake this test may require some time. </w:t>
      </w:r>
      <w:r w:rsidR="009D0DB4" w:rsidRPr="00135095">
        <w:rPr>
          <w:color w:val="auto"/>
          <w:sz w:val="22"/>
          <w:szCs w:val="22"/>
        </w:rPr>
        <w:t xml:space="preserve">It is </w:t>
      </w:r>
      <w:r w:rsidRPr="00135095">
        <w:rPr>
          <w:color w:val="auto"/>
          <w:sz w:val="22"/>
          <w:szCs w:val="22"/>
        </w:rPr>
        <w:t>acknowledge</w:t>
      </w:r>
      <w:r w:rsidR="006B2E68" w:rsidRPr="00135095">
        <w:rPr>
          <w:color w:val="auto"/>
          <w:sz w:val="22"/>
          <w:szCs w:val="22"/>
        </w:rPr>
        <w:t>d</w:t>
      </w:r>
      <w:r w:rsidRPr="00135095">
        <w:rPr>
          <w:color w:val="auto"/>
          <w:sz w:val="22"/>
          <w:szCs w:val="22"/>
        </w:rPr>
        <w:t xml:space="preserve"> that for most small businesses this task would only be undertaken sporadically.</w:t>
      </w:r>
    </w:p>
    <w:p w14:paraId="23053F63" w14:textId="77777777" w:rsidR="00F435A1" w:rsidRPr="00B03C63" w:rsidRDefault="00F435A1" w:rsidP="000C1523">
      <w:pPr>
        <w:pStyle w:val="HHLBodyText"/>
        <w:spacing w:before="240"/>
        <w:rPr>
          <w:i/>
        </w:rPr>
      </w:pPr>
      <w:r w:rsidRPr="00B03C63">
        <w:rPr>
          <w:i/>
        </w:rPr>
        <w:t>Independent auditing of your electronic data systems and policies</w:t>
      </w:r>
    </w:p>
    <w:p w14:paraId="6A04BD7F" w14:textId="2B25C807" w:rsidR="00F435A1" w:rsidRPr="00DD24D5" w:rsidRDefault="006B2E68" w:rsidP="00F435A1">
      <w:r w:rsidRPr="000C1523">
        <w:rPr>
          <w:color w:val="auto"/>
          <w:sz w:val="22"/>
          <w:szCs w:val="22"/>
        </w:rPr>
        <w:t xml:space="preserve">It is </w:t>
      </w:r>
      <w:r w:rsidR="00C80464" w:rsidRPr="000C1523">
        <w:rPr>
          <w:color w:val="auto"/>
          <w:sz w:val="22"/>
          <w:szCs w:val="22"/>
        </w:rPr>
        <w:t>recommended</w:t>
      </w:r>
      <w:r w:rsidRPr="000C1523">
        <w:rPr>
          <w:color w:val="auto"/>
          <w:sz w:val="22"/>
          <w:szCs w:val="22"/>
        </w:rPr>
        <w:t xml:space="preserve"> that y</w:t>
      </w:r>
      <w:r w:rsidR="00F435A1" w:rsidRPr="000C1523">
        <w:rPr>
          <w:color w:val="auto"/>
          <w:sz w:val="22"/>
          <w:szCs w:val="22"/>
        </w:rPr>
        <w:t xml:space="preserve">our practice </w:t>
      </w:r>
      <w:r w:rsidR="000C1523" w:rsidRPr="000C1523">
        <w:rPr>
          <w:color w:val="auto"/>
          <w:sz w:val="22"/>
          <w:szCs w:val="22"/>
        </w:rPr>
        <w:t>can</w:t>
      </w:r>
      <w:r w:rsidR="00F435A1" w:rsidRPr="000C1523">
        <w:rPr>
          <w:color w:val="auto"/>
          <w:sz w:val="22"/>
          <w:szCs w:val="22"/>
        </w:rPr>
        <w:t xml:space="preserve"> provide evidence of independent auditing of your electronic data systems and policies. If you use a third-party IT support provider, your provider should be able to provide some independence in terms of audit and identifying information issues</w:t>
      </w:r>
      <w:r w:rsidR="00F435A1" w:rsidRPr="00DD24D5">
        <w:t>.</w:t>
      </w:r>
    </w:p>
    <w:p w14:paraId="52E6A340" w14:textId="77777777" w:rsidR="00F435A1" w:rsidRPr="000C1523" w:rsidRDefault="00F435A1" w:rsidP="000C1523">
      <w:pPr>
        <w:spacing w:before="120"/>
        <w:rPr>
          <w:color w:val="auto"/>
          <w:sz w:val="22"/>
          <w:szCs w:val="22"/>
        </w:rPr>
      </w:pPr>
      <w:r w:rsidRPr="000C1523">
        <w:rPr>
          <w:color w:val="auto"/>
          <w:sz w:val="22"/>
          <w:szCs w:val="22"/>
        </w:rPr>
        <w:t>General practice systems are complex. They have many points of interconnection with other systems. They are responsible for transmitting health information. It is important that they are maintained in such a way that they are available most of the time and the way in which they operate does not compromise the security of the information that they hold.</w:t>
      </w:r>
    </w:p>
    <w:p w14:paraId="7511C096" w14:textId="7880BBE5" w:rsidR="00F435A1" w:rsidRPr="002E5CE5" w:rsidRDefault="00F435A1" w:rsidP="002E5CE5">
      <w:pPr>
        <w:spacing w:before="120"/>
        <w:rPr>
          <w:color w:val="auto"/>
          <w:sz w:val="22"/>
          <w:szCs w:val="22"/>
        </w:rPr>
      </w:pPr>
      <w:r w:rsidRPr="002E5CE5">
        <w:rPr>
          <w:color w:val="auto"/>
          <w:sz w:val="22"/>
          <w:szCs w:val="22"/>
        </w:rPr>
        <w:t>Having a specialist IT provider with knowledge of the systems and industry can help with maintenance of the systems and ensure that they are not configured in a way as to compromise the security of your system.</w:t>
      </w:r>
    </w:p>
    <w:p w14:paraId="451641BD" w14:textId="77777777" w:rsidR="00F435A1" w:rsidRPr="000E3E85" w:rsidRDefault="00F435A1" w:rsidP="000E3E85">
      <w:pPr>
        <w:spacing w:before="120"/>
        <w:rPr>
          <w:color w:val="auto"/>
          <w:sz w:val="22"/>
          <w:szCs w:val="22"/>
        </w:rPr>
      </w:pPr>
      <w:r w:rsidRPr="000E3E85">
        <w:rPr>
          <w:color w:val="auto"/>
          <w:sz w:val="22"/>
          <w:szCs w:val="22"/>
        </w:rPr>
        <w:t>Your third-party IT specialist should be external to the practice. This excludes family or friends that complete IT work for you as a favour or in lieu of other non-cash payments. While not a guarantee, ensuring that you are paying for your IT services ensures that it is clear to those providing such services that they are providing a professional service. You should have a contract with your third-party IT provider that covers all standard aspects of engaging a professional service. The contract may be on a time-and-materials basis, or have some retainer type component to it.</w:t>
      </w:r>
    </w:p>
    <w:p w14:paraId="1E8EE5C6" w14:textId="21213A55" w:rsidR="00FD696E" w:rsidRDefault="00FD696E" w:rsidP="00FD696E">
      <w:pPr>
        <w:spacing w:before="240" w:after="120"/>
        <w:rPr>
          <w:b/>
          <w:color w:val="auto"/>
          <w:sz w:val="22"/>
          <w:szCs w:val="22"/>
        </w:rPr>
      </w:pPr>
      <w:bookmarkStart w:id="47" w:name="_Hlk4406247"/>
      <w:r w:rsidRPr="00356116">
        <w:rPr>
          <w:b/>
          <w:color w:val="auto"/>
          <w:sz w:val="22"/>
          <w:szCs w:val="22"/>
        </w:rPr>
        <w:t>Resources</w:t>
      </w:r>
    </w:p>
    <w:p w14:paraId="12C7A413" w14:textId="20E12D6D" w:rsidR="004F7F0F" w:rsidRPr="006E43E7" w:rsidRDefault="00CF1416" w:rsidP="0024030C">
      <w:pPr>
        <w:pStyle w:val="Resourcelist"/>
        <w:spacing w:after="120"/>
        <w:rPr>
          <w:rStyle w:val="Hyperlink"/>
          <w:rFonts w:ascii="Arial" w:hAnsi="Arial" w:cs="Arial"/>
          <w:color w:val="0000FF"/>
        </w:rPr>
      </w:pPr>
      <w:hyperlink r:id="rId89" w:history="1">
        <w:r w:rsidR="004F7F0F" w:rsidRPr="006E43E7">
          <w:rPr>
            <w:rStyle w:val="Hyperlink"/>
            <w:rFonts w:ascii="Arial" w:hAnsi="Arial" w:cs="Arial"/>
            <w:color w:val="0000FF"/>
          </w:rPr>
          <w:t>Ministry of Business, Innovation and Employment: Protecting Business Data</w:t>
        </w:r>
      </w:hyperlink>
    </w:p>
    <w:p w14:paraId="582A6620" w14:textId="322881F3" w:rsidR="002E4FF8" w:rsidRPr="006E43E7" w:rsidRDefault="00CF1416" w:rsidP="0024030C">
      <w:pPr>
        <w:pStyle w:val="Resourcelist"/>
        <w:spacing w:after="120"/>
        <w:rPr>
          <w:rStyle w:val="Hyperlink"/>
          <w:rFonts w:ascii="Arial" w:hAnsi="Arial" w:cs="Arial"/>
          <w:color w:val="0000FF"/>
        </w:rPr>
      </w:pPr>
      <w:hyperlink r:id="rId90" w:history="1">
        <w:r w:rsidR="002E4FF8" w:rsidRPr="006E43E7">
          <w:rPr>
            <w:rStyle w:val="Hyperlink"/>
            <w:rFonts w:ascii="Arial" w:hAnsi="Arial" w:cs="Arial"/>
            <w:color w:val="0000FF"/>
          </w:rPr>
          <w:t>Patients First</w:t>
        </w:r>
        <w:r w:rsidR="00653DD1" w:rsidRPr="006E43E7">
          <w:rPr>
            <w:rStyle w:val="Hyperlink"/>
            <w:rFonts w:ascii="Arial" w:hAnsi="Arial" w:cs="Arial"/>
            <w:color w:val="0000FF"/>
          </w:rPr>
          <w:t>:</w:t>
        </w:r>
        <w:r w:rsidR="002E4FF8" w:rsidRPr="006E43E7">
          <w:rPr>
            <w:rStyle w:val="Hyperlink"/>
            <w:rFonts w:ascii="Arial" w:hAnsi="Arial" w:cs="Arial"/>
            <w:color w:val="0000FF"/>
          </w:rPr>
          <w:t xml:space="preserve"> General Practice ICT Security Checklist &amp; Guide</w:t>
        </w:r>
      </w:hyperlink>
    </w:p>
    <w:p w14:paraId="2CF0E10C" w14:textId="5111307D" w:rsidR="00CB1057" w:rsidRPr="006E43E7" w:rsidRDefault="00CF1416" w:rsidP="0024030C">
      <w:pPr>
        <w:pStyle w:val="Resourcelist"/>
        <w:spacing w:after="120"/>
        <w:rPr>
          <w:rStyle w:val="Hyperlink"/>
          <w:rFonts w:ascii="Arial" w:hAnsi="Arial" w:cs="Arial"/>
          <w:color w:val="0000FF"/>
        </w:rPr>
      </w:pPr>
      <w:hyperlink r:id="rId91" w:history="1">
        <w:r w:rsidR="00CB1057" w:rsidRPr="006E43E7">
          <w:rPr>
            <w:rStyle w:val="Hyperlink"/>
            <w:rFonts w:ascii="Arial" w:hAnsi="Arial" w:cs="Arial"/>
            <w:color w:val="0000FF"/>
          </w:rPr>
          <w:t>Patients First</w:t>
        </w:r>
        <w:r w:rsidR="00653DD1" w:rsidRPr="006E43E7">
          <w:rPr>
            <w:rStyle w:val="Hyperlink"/>
            <w:rFonts w:ascii="Arial" w:hAnsi="Arial" w:cs="Arial"/>
            <w:color w:val="0000FF"/>
          </w:rPr>
          <w:t>:</w:t>
        </w:r>
        <w:r w:rsidR="00CB1057" w:rsidRPr="006E43E7">
          <w:rPr>
            <w:rStyle w:val="Hyperlink"/>
            <w:rFonts w:ascii="Arial" w:hAnsi="Arial" w:cs="Arial"/>
            <w:color w:val="0000FF"/>
          </w:rPr>
          <w:t xml:space="preserve"> </w:t>
        </w:r>
        <w:r w:rsidR="002F19EA" w:rsidRPr="006E43E7">
          <w:rPr>
            <w:rStyle w:val="Hyperlink"/>
            <w:rFonts w:ascii="Arial" w:hAnsi="Arial" w:cs="Arial"/>
            <w:color w:val="0000FF"/>
          </w:rPr>
          <w:t>Security Checklist Guide</w:t>
        </w:r>
      </w:hyperlink>
    </w:p>
    <w:p w14:paraId="5E907A57" w14:textId="1B7E04F4" w:rsidR="002F19EA" w:rsidRPr="006E43E7" w:rsidRDefault="00CF1416" w:rsidP="0024030C">
      <w:pPr>
        <w:pStyle w:val="Resourcelist"/>
        <w:spacing w:after="120"/>
        <w:rPr>
          <w:rStyle w:val="Hyperlink"/>
          <w:rFonts w:ascii="Arial" w:hAnsi="Arial" w:cs="Arial"/>
          <w:color w:val="0000FF"/>
        </w:rPr>
      </w:pPr>
      <w:hyperlink r:id="rId92" w:history="1">
        <w:r w:rsidR="002F19EA" w:rsidRPr="006E43E7">
          <w:rPr>
            <w:rStyle w:val="Hyperlink"/>
            <w:rFonts w:ascii="Arial" w:hAnsi="Arial" w:cs="Arial"/>
            <w:color w:val="0000FF"/>
          </w:rPr>
          <w:t>Patients First</w:t>
        </w:r>
        <w:r w:rsidR="00653DD1" w:rsidRPr="006E43E7">
          <w:rPr>
            <w:rStyle w:val="Hyperlink"/>
            <w:rFonts w:ascii="Arial" w:hAnsi="Arial" w:cs="Arial"/>
            <w:color w:val="0000FF"/>
          </w:rPr>
          <w:t>:</w:t>
        </w:r>
        <w:r w:rsidR="002F19EA" w:rsidRPr="006E43E7">
          <w:rPr>
            <w:rStyle w:val="Hyperlink"/>
            <w:rFonts w:ascii="Arial" w:hAnsi="Arial" w:cs="Arial"/>
            <w:color w:val="0000FF"/>
          </w:rPr>
          <w:t xml:space="preserve"> Security Checklist</w:t>
        </w:r>
      </w:hyperlink>
    </w:p>
    <w:p w14:paraId="329A0000" w14:textId="674D448F" w:rsidR="008B7D8D" w:rsidRPr="006E43E7" w:rsidRDefault="00CF1416" w:rsidP="0024030C">
      <w:pPr>
        <w:pStyle w:val="Resourcelist"/>
        <w:spacing w:after="120"/>
        <w:rPr>
          <w:rStyle w:val="Hyperlink"/>
          <w:rFonts w:ascii="Arial" w:hAnsi="Arial" w:cs="Arial"/>
          <w:color w:val="0000FF"/>
        </w:rPr>
      </w:pPr>
      <w:hyperlink r:id="rId93" w:history="1">
        <w:r w:rsidR="008B7D8D" w:rsidRPr="006E43E7">
          <w:rPr>
            <w:rStyle w:val="Hyperlink"/>
            <w:rFonts w:ascii="Arial" w:hAnsi="Arial" w:cs="Arial"/>
            <w:color w:val="0000FF"/>
          </w:rPr>
          <w:t>Standards New Zealand</w:t>
        </w:r>
        <w:r w:rsidR="00653DD1" w:rsidRPr="006E43E7">
          <w:rPr>
            <w:rStyle w:val="Hyperlink"/>
            <w:rFonts w:ascii="Arial" w:hAnsi="Arial" w:cs="Arial"/>
            <w:color w:val="0000FF"/>
          </w:rPr>
          <w:t>:</w:t>
        </w:r>
        <w:r w:rsidR="008B7D8D" w:rsidRPr="006E43E7">
          <w:rPr>
            <w:rStyle w:val="Hyperlink"/>
            <w:rFonts w:ascii="Arial" w:hAnsi="Arial" w:cs="Arial"/>
            <w:color w:val="0000FF"/>
          </w:rPr>
          <w:t xml:space="preserve"> Primary Healthcare </w:t>
        </w:r>
        <w:r w:rsidR="00484C39" w:rsidRPr="006E43E7">
          <w:rPr>
            <w:rStyle w:val="Hyperlink"/>
            <w:rFonts w:ascii="Arial" w:hAnsi="Arial" w:cs="Arial"/>
            <w:color w:val="0000FF"/>
          </w:rPr>
          <w:t>Practice</w:t>
        </w:r>
        <w:r w:rsidR="008B7D8D" w:rsidRPr="006E43E7">
          <w:rPr>
            <w:rStyle w:val="Hyperlink"/>
            <w:rFonts w:ascii="Arial" w:hAnsi="Arial" w:cs="Arial"/>
            <w:color w:val="0000FF"/>
          </w:rPr>
          <w:t xml:space="preserve"> Management Systems</w:t>
        </w:r>
      </w:hyperlink>
    </w:p>
    <w:p w14:paraId="15BF3C1A" w14:textId="1B134E44" w:rsidR="002E4FF8" w:rsidRPr="006E43E7" w:rsidRDefault="00CF1416" w:rsidP="0024030C">
      <w:pPr>
        <w:pStyle w:val="Resourcelist"/>
        <w:spacing w:after="120"/>
        <w:rPr>
          <w:rStyle w:val="Hyperlink"/>
          <w:rFonts w:ascii="Arial" w:hAnsi="Arial" w:cs="Arial"/>
          <w:color w:val="0000FF"/>
        </w:rPr>
      </w:pPr>
      <w:hyperlink r:id="rId94" w:history="1">
        <w:r w:rsidR="002E4FF8" w:rsidRPr="006E43E7">
          <w:rPr>
            <w:rStyle w:val="Hyperlink"/>
            <w:rFonts w:ascii="Arial" w:hAnsi="Arial" w:cs="Arial"/>
            <w:color w:val="0000FF"/>
          </w:rPr>
          <w:t>Ministry of Health</w:t>
        </w:r>
        <w:r w:rsidR="00653DD1" w:rsidRPr="006E43E7">
          <w:rPr>
            <w:rStyle w:val="Hyperlink"/>
            <w:rFonts w:ascii="Arial" w:hAnsi="Arial" w:cs="Arial"/>
            <w:color w:val="0000FF"/>
          </w:rPr>
          <w:t>:</w:t>
        </w:r>
        <w:r w:rsidR="002E4FF8" w:rsidRPr="006E43E7">
          <w:rPr>
            <w:rStyle w:val="Hyperlink"/>
            <w:rFonts w:ascii="Arial" w:hAnsi="Arial" w:cs="Arial"/>
            <w:color w:val="0000FF"/>
          </w:rPr>
          <w:t xml:space="preserve"> HISO 10029:2015 Health Information Security Framework</w:t>
        </w:r>
      </w:hyperlink>
    </w:p>
    <w:p w14:paraId="4726D498" w14:textId="10C37CCE" w:rsidR="002E4FF8" w:rsidRPr="006E43E7" w:rsidRDefault="00CF1416" w:rsidP="0024030C">
      <w:pPr>
        <w:pStyle w:val="Resourcelist"/>
        <w:spacing w:after="120"/>
        <w:rPr>
          <w:rStyle w:val="Hyperlink"/>
          <w:rFonts w:ascii="Arial" w:hAnsi="Arial" w:cs="Arial"/>
          <w:color w:val="0000FF"/>
        </w:rPr>
      </w:pPr>
      <w:hyperlink r:id="rId95" w:history="1">
        <w:r w:rsidR="002E4FF8" w:rsidRPr="006E43E7">
          <w:rPr>
            <w:rStyle w:val="Hyperlink"/>
            <w:rFonts w:ascii="Arial" w:hAnsi="Arial" w:cs="Arial"/>
            <w:color w:val="0000FF"/>
          </w:rPr>
          <w:t>Ministry of Health</w:t>
        </w:r>
        <w:r w:rsidR="00653DD1" w:rsidRPr="006E43E7">
          <w:rPr>
            <w:rStyle w:val="Hyperlink"/>
            <w:rFonts w:ascii="Arial" w:hAnsi="Arial" w:cs="Arial"/>
            <w:color w:val="0000FF"/>
          </w:rPr>
          <w:t>:</w:t>
        </w:r>
        <w:r w:rsidR="002E4FF8" w:rsidRPr="006E43E7">
          <w:rPr>
            <w:rStyle w:val="Hyperlink"/>
            <w:rFonts w:ascii="Arial" w:hAnsi="Arial" w:cs="Arial"/>
            <w:color w:val="0000FF"/>
          </w:rPr>
          <w:t xml:space="preserve"> </w:t>
        </w:r>
        <w:r w:rsidR="002760DF" w:rsidRPr="006E43E7">
          <w:rPr>
            <w:rStyle w:val="Hyperlink"/>
            <w:rFonts w:ascii="Arial" w:hAnsi="Arial" w:cs="Arial"/>
            <w:color w:val="0000FF"/>
          </w:rPr>
          <w:t>eHealth</w:t>
        </w:r>
      </w:hyperlink>
    </w:p>
    <w:bookmarkEnd w:id="47"/>
    <w:p w14:paraId="29D81737" w14:textId="7067E2D4" w:rsidR="00F435A1" w:rsidRPr="006E43E7" w:rsidRDefault="00CF6D7D" w:rsidP="0024030C">
      <w:pPr>
        <w:pStyle w:val="Resourcelist"/>
        <w:spacing w:after="120"/>
        <w:rPr>
          <w:rStyle w:val="Hyperlink"/>
          <w:rFonts w:ascii="Arial" w:hAnsi="Arial" w:cs="Arial"/>
          <w:color w:val="0000FF"/>
        </w:rPr>
      </w:pPr>
      <w:r w:rsidRPr="006E43E7">
        <w:rPr>
          <w:rStyle w:val="Hyperlink"/>
          <w:rFonts w:ascii="Arial" w:hAnsi="Arial" w:cs="Arial"/>
          <w:color w:val="0000FF"/>
        </w:rPr>
        <w:fldChar w:fldCharType="begin"/>
      </w:r>
      <w:r w:rsidRPr="006E43E7">
        <w:rPr>
          <w:rStyle w:val="Hyperlink"/>
          <w:rFonts w:ascii="Arial" w:hAnsi="Arial" w:cs="Arial"/>
          <w:color w:val="0000FF"/>
        </w:rPr>
        <w:instrText xml:space="preserve"> HYPERLINK "https://www.privacy.org.nz/assets/Files/Health-toolkit/On-The-Record.pdf" </w:instrText>
      </w:r>
      <w:r w:rsidRPr="006E43E7">
        <w:rPr>
          <w:rStyle w:val="Hyperlink"/>
          <w:rFonts w:ascii="Arial" w:hAnsi="Arial" w:cs="Arial"/>
          <w:color w:val="0000FF"/>
        </w:rPr>
        <w:fldChar w:fldCharType="separate"/>
      </w:r>
      <w:r w:rsidR="00F435A1" w:rsidRPr="006E43E7">
        <w:rPr>
          <w:rStyle w:val="Hyperlink"/>
          <w:rFonts w:ascii="Arial" w:hAnsi="Arial" w:cs="Arial"/>
          <w:color w:val="0000FF"/>
        </w:rPr>
        <w:t>The Privacy Commissioner</w:t>
      </w:r>
      <w:r w:rsidR="00653DD1" w:rsidRPr="006E43E7">
        <w:rPr>
          <w:rStyle w:val="Hyperlink"/>
          <w:rFonts w:ascii="Arial" w:hAnsi="Arial" w:cs="Arial"/>
          <w:color w:val="0000FF"/>
        </w:rPr>
        <w:t>:</w:t>
      </w:r>
      <w:r w:rsidR="00F435A1" w:rsidRPr="006E43E7">
        <w:rPr>
          <w:rStyle w:val="Hyperlink"/>
          <w:rFonts w:ascii="Arial" w:hAnsi="Arial" w:cs="Arial"/>
          <w:color w:val="0000FF"/>
        </w:rPr>
        <w:t xml:space="preserve"> On the record: a practical guide to health information privacy</w:t>
      </w:r>
      <w:r w:rsidRPr="006E43E7">
        <w:rPr>
          <w:rStyle w:val="Hyperlink"/>
          <w:rFonts w:ascii="Arial" w:hAnsi="Arial" w:cs="Arial"/>
          <w:color w:val="0000FF"/>
        </w:rPr>
        <w:fldChar w:fldCharType="end"/>
      </w:r>
    </w:p>
    <w:p w14:paraId="61FF4F14" w14:textId="2F43AD10" w:rsidR="00F435A1" w:rsidRPr="006E43E7" w:rsidRDefault="00CF1416" w:rsidP="0024030C">
      <w:pPr>
        <w:pStyle w:val="Resourcelist"/>
        <w:spacing w:after="120"/>
        <w:rPr>
          <w:rStyle w:val="Hyperlink"/>
          <w:rFonts w:ascii="Arial" w:hAnsi="Arial" w:cs="Arial"/>
          <w:color w:val="0000FF"/>
        </w:rPr>
      </w:pPr>
      <w:hyperlink r:id="rId96" w:history="1">
        <w:r w:rsidR="00F435A1" w:rsidRPr="006E43E7">
          <w:rPr>
            <w:rStyle w:val="Hyperlink"/>
            <w:rFonts w:ascii="Arial" w:hAnsi="Arial" w:cs="Arial"/>
            <w:color w:val="0000FF"/>
          </w:rPr>
          <w:t>The Privacy Commissioner</w:t>
        </w:r>
        <w:r w:rsidR="00653DD1" w:rsidRPr="006E43E7">
          <w:rPr>
            <w:rStyle w:val="Hyperlink"/>
            <w:rFonts w:ascii="Arial" w:hAnsi="Arial" w:cs="Arial"/>
            <w:color w:val="0000FF"/>
          </w:rPr>
          <w:t>:</w:t>
        </w:r>
        <w:r w:rsidR="0030372B" w:rsidRPr="006E43E7">
          <w:rPr>
            <w:rStyle w:val="Hyperlink"/>
            <w:rFonts w:ascii="Arial" w:hAnsi="Arial" w:cs="Arial"/>
            <w:color w:val="0000FF"/>
          </w:rPr>
          <w:t xml:space="preserve"> </w:t>
        </w:r>
        <w:r w:rsidR="00F435A1" w:rsidRPr="006E43E7">
          <w:rPr>
            <w:rStyle w:val="Hyperlink"/>
            <w:rFonts w:ascii="Arial" w:hAnsi="Arial" w:cs="Arial"/>
            <w:color w:val="0000FF"/>
          </w:rPr>
          <w:t>Health privacy toolkit</w:t>
        </w:r>
      </w:hyperlink>
    </w:p>
    <w:p w14:paraId="657DD1AF" w14:textId="77777777" w:rsidR="00C521FC" w:rsidRPr="006E43E7" w:rsidRDefault="00CF1416" w:rsidP="0024030C">
      <w:pPr>
        <w:pStyle w:val="Resourcelist"/>
        <w:spacing w:after="120"/>
        <w:rPr>
          <w:rStyle w:val="Hyperlink"/>
          <w:rFonts w:ascii="Arial" w:hAnsi="Arial" w:cs="Arial"/>
          <w:color w:val="0000FF"/>
        </w:rPr>
      </w:pPr>
      <w:hyperlink r:id="rId97" w:history="1">
        <w:r w:rsidR="00C521FC" w:rsidRPr="006E43E7">
          <w:rPr>
            <w:rStyle w:val="Hyperlink"/>
            <w:rFonts w:ascii="Arial" w:hAnsi="Arial" w:cs="Arial"/>
            <w:color w:val="0000FF"/>
          </w:rPr>
          <w:t>Health Information Privacy Code 1994 Incorporating amendments and including revised commentary</w:t>
        </w:r>
      </w:hyperlink>
    </w:p>
    <w:p w14:paraId="06B0743E" w14:textId="528FBE87" w:rsidR="002E4FF8" w:rsidRPr="006E43E7" w:rsidRDefault="00CF1416" w:rsidP="0024030C">
      <w:pPr>
        <w:pStyle w:val="Resourcelist"/>
        <w:spacing w:after="120"/>
        <w:rPr>
          <w:rStyle w:val="Hyperlink"/>
          <w:rFonts w:ascii="Arial" w:hAnsi="Arial" w:cs="Arial"/>
          <w:color w:val="0000FF"/>
        </w:rPr>
      </w:pPr>
      <w:hyperlink r:id="rId98" w:history="1"/>
      <w:hyperlink r:id="rId99" w:history="1">
        <w:r w:rsidR="0030372B" w:rsidRPr="006E43E7">
          <w:rPr>
            <w:rStyle w:val="Hyperlink"/>
            <w:rFonts w:ascii="Arial" w:hAnsi="Arial" w:cs="Arial"/>
            <w:color w:val="0000FF"/>
          </w:rPr>
          <w:t>Health (Retention of Health Information) Regulations 1996</w:t>
        </w:r>
      </w:hyperlink>
    </w:p>
    <w:p w14:paraId="70DA4FD0" w14:textId="53F5941D" w:rsidR="002652E5" w:rsidRPr="00505603" w:rsidRDefault="002652E5">
      <w:pPr>
        <w:spacing w:after="0"/>
      </w:pPr>
      <w:r>
        <w:br w:type="page"/>
      </w:r>
    </w:p>
    <w:p w14:paraId="6E4AFEBE" w14:textId="28F91908" w:rsidR="00002AC1" w:rsidRDefault="00002AC1" w:rsidP="006D11A9">
      <w:pPr>
        <w:pStyle w:val="HHLSubHeading"/>
        <w:numPr>
          <w:ilvl w:val="0"/>
          <w:numId w:val="0"/>
        </w:numPr>
        <w:tabs>
          <w:tab w:val="left" w:pos="1560"/>
        </w:tabs>
      </w:pPr>
      <w:bookmarkStart w:id="48" w:name="_Toc6998669"/>
      <w:r w:rsidRPr="00902640">
        <w:lastRenderedPageBreak/>
        <w:t xml:space="preserve">Indicator </w:t>
      </w:r>
      <w:r>
        <w:t>11</w:t>
      </w:r>
      <w:r w:rsidRPr="00902640">
        <w:t>.</w:t>
      </w:r>
      <w:r>
        <w:t xml:space="preserve"> Registration and enrollment</w:t>
      </w:r>
      <w:bookmarkEnd w:id="48"/>
    </w:p>
    <w:p w14:paraId="4E1BBCFA" w14:textId="0457381E" w:rsidR="00002AC1" w:rsidRPr="005E1B5C" w:rsidRDefault="00002AC1" w:rsidP="00002AC1">
      <w:pPr>
        <w:pStyle w:val="HHLBodyText"/>
        <w:rPr>
          <w:b/>
        </w:rPr>
      </w:pPr>
      <w:r w:rsidRPr="005E1B5C">
        <w:rPr>
          <w:b/>
        </w:rPr>
        <w:t xml:space="preserve">Our practice has </w:t>
      </w:r>
      <w:r>
        <w:rPr>
          <w:b/>
        </w:rPr>
        <w:t xml:space="preserve">a patient registration and enrolment process that is timely and </w:t>
      </w:r>
      <w:r w:rsidR="002D3694">
        <w:rPr>
          <w:b/>
        </w:rPr>
        <w:t>effective</w:t>
      </w:r>
      <w:r w:rsidRPr="005E1B5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540"/>
        <w:gridCol w:w="4050"/>
      </w:tblGrid>
      <w:tr w:rsidR="00002AC1" w:rsidRPr="002E71B3" w14:paraId="3F9ED62F" w14:textId="77777777" w:rsidTr="00B42877">
        <w:tc>
          <w:tcPr>
            <w:tcW w:w="1153" w:type="dxa"/>
            <w:shd w:val="clear" w:color="auto" w:fill="FBD4B4" w:themeFill="accent6" w:themeFillTint="66"/>
          </w:tcPr>
          <w:p w14:paraId="192DA9B3" w14:textId="77777777" w:rsidR="00002AC1" w:rsidRPr="002E71B3" w:rsidRDefault="00002AC1" w:rsidP="00B42877">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07D3FA91" w14:textId="77777777" w:rsidR="00002AC1" w:rsidRPr="002E71B3" w:rsidRDefault="00002AC1" w:rsidP="00B42877">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6A404B8A" w14:textId="6E2453B4" w:rsidR="00002AC1" w:rsidRPr="002E71B3" w:rsidRDefault="00002AC1" w:rsidP="00B42877">
            <w:pPr>
              <w:spacing w:before="120" w:after="120"/>
              <w:rPr>
                <w:b/>
                <w:color w:val="auto"/>
                <w:sz w:val="22"/>
                <w:szCs w:val="22"/>
              </w:rPr>
            </w:pPr>
            <w:r w:rsidRPr="002E71B3">
              <w:rPr>
                <w:b/>
                <w:color w:val="auto"/>
                <w:sz w:val="22"/>
                <w:szCs w:val="22"/>
              </w:rPr>
              <w:t>Required evidence</w:t>
            </w:r>
          </w:p>
        </w:tc>
      </w:tr>
      <w:tr w:rsidR="00E1701D" w:rsidRPr="002E71B3" w14:paraId="2C8778EB" w14:textId="77777777" w:rsidTr="00E1701D">
        <w:tc>
          <w:tcPr>
            <w:tcW w:w="1153" w:type="dxa"/>
          </w:tcPr>
          <w:p w14:paraId="4B8B95E0" w14:textId="77777777" w:rsidR="00E1701D" w:rsidRPr="000F513E" w:rsidRDefault="00E1701D" w:rsidP="00B42877">
            <w:pPr>
              <w:spacing w:before="60"/>
              <w:rPr>
                <w:color w:val="auto"/>
                <w:sz w:val="22"/>
                <w:szCs w:val="22"/>
              </w:rPr>
            </w:pPr>
            <w:r>
              <w:rPr>
                <w:color w:val="auto"/>
                <w:sz w:val="22"/>
                <w:szCs w:val="22"/>
              </w:rPr>
              <w:t>11</w:t>
            </w:r>
            <w:r w:rsidRPr="000F513E">
              <w:rPr>
                <w:color w:val="auto"/>
                <w:sz w:val="22"/>
                <w:szCs w:val="22"/>
              </w:rPr>
              <w:t>.1</w:t>
            </w:r>
          </w:p>
        </w:tc>
        <w:tc>
          <w:tcPr>
            <w:tcW w:w="4568" w:type="dxa"/>
          </w:tcPr>
          <w:p w14:paraId="744B7638" w14:textId="296EB020" w:rsidR="00E1701D" w:rsidRPr="00113D0F" w:rsidRDefault="00E1701D" w:rsidP="00113D0F">
            <w:pPr>
              <w:spacing w:before="60"/>
              <w:rPr>
                <w:rFonts w:cs="Arial"/>
                <w:color w:val="auto"/>
                <w:sz w:val="22"/>
                <w:szCs w:val="22"/>
              </w:rPr>
            </w:pPr>
            <w:r w:rsidRPr="0027448E">
              <w:rPr>
                <w:rFonts w:cs="Arial"/>
                <w:color w:val="auto"/>
                <w:sz w:val="22"/>
                <w:szCs w:val="22"/>
              </w:rPr>
              <w:t>Collect enrolment information adhering to the Ministry of Health requirements.</w:t>
            </w:r>
          </w:p>
        </w:tc>
        <w:tc>
          <w:tcPr>
            <w:tcW w:w="4075" w:type="dxa"/>
            <w:vMerge w:val="restart"/>
            <w:vAlign w:val="center"/>
          </w:tcPr>
          <w:p w14:paraId="0E0337FC" w14:textId="3F7403AA" w:rsidR="00E1701D" w:rsidRPr="00CC1336" w:rsidRDefault="00E1701D" w:rsidP="00E1701D">
            <w:pPr>
              <w:spacing w:before="60"/>
              <w:rPr>
                <w:color w:val="auto"/>
                <w:sz w:val="22"/>
                <w:szCs w:val="22"/>
              </w:rPr>
            </w:pPr>
            <w:r w:rsidRPr="00113D0F">
              <w:rPr>
                <w:color w:val="auto"/>
                <w:sz w:val="22"/>
                <w:szCs w:val="22"/>
              </w:rPr>
              <w:t>Patient enrolment form consistent with current Ministry of Health guidelines</w:t>
            </w:r>
            <w:r>
              <w:rPr>
                <w:color w:val="auto"/>
                <w:sz w:val="22"/>
                <w:szCs w:val="22"/>
              </w:rPr>
              <w:t>, including a privacy statement.</w:t>
            </w:r>
          </w:p>
        </w:tc>
      </w:tr>
      <w:tr w:rsidR="00E1701D" w:rsidRPr="002E71B3" w14:paraId="1B57C541" w14:textId="77777777" w:rsidTr="00B42877">
        <w:tc>
          <w:tcPr>
            <w:tcW w:w="1153" w:type="dxa"/>
          </w:tcPr>
          <w:p w14:paraId="75E6492B" w14:textId="4596ADA8" w:rsidR="00E1701D" w:rsidRDefault="00E1701D" w:rsidP="00B42877">
            <w:pPr>
              <w:spacing w:before="60"/>
              <w:rPr>
                <w:color w:val="auto"/>
                <w:sz w:val="22"/>
                <w:szCs w:val="22"/>
              </w:rPr>
            </w:pPr>
            <w:r>
              <w:rPr>
                <w:color w:val="auto"/>
                <w:sz w:val="22"/>
                <w:szCs w:val="22"/>
              </w:rPr>
              <w:t>11.2</w:t>
            </w:r>
          </w:p>
        </w:tc>
        <w:tc>
          <w:tcPr>
            <w:tcW w:w="4568" w:type="dxa"/>
          </w:tcPr>
          <w:p w14:paraId="1E91F015" w14:textId="6D44BDFE" w:rsidR="00E1701D" w:rsidRPr="0027448E" w:rsidRDefault="00E1701D" w:rsidP="00B42877">
            <w:pPr>
              <w:spacing w:before="60"/>
              <w:rPr>
                <w:rFonts w:cs="Arial"/>
                <w:color w:val="auto"/>
                <w:sz w:val="22"/>
                <w:szCs w:val="22"/>
              </w:rPr>
            </w:pPr>
            <w:r w:rsidRPr="0027448E">
              <w:rPr>
                <w:rFonts w:cs="Arial"/>
                <w:color w:val="auto"/>
                <w:sz w:val="22"/>
                <w:szCs w:val="22"/>
              </w:rPr>
              <w:t>Provide patients with a health information privacy statement</w:t>
            </w:r>
            <w:r>
              <w:rPr>
                <w:rFonts w:cs="Arial"/>
                <w:color w:val="auto"/>
                <w:sz w:val="22"/>
                <w:szCs w:val="22"/>
              </w:rPr>
              <w:t>.</w:t>
            </w:r>
          </w:p>
        </w:tc>
        <w:tc>
          <w:tcPr>
            <w:tcW w:w="4075" w:type="dxa"/>
            <w:vMerge/>
          </w:tcPr>
          <w:p w14:paraId="5FB41A09" w14:textId="60BD7370" w:rsidR="00E1701D" w:rsidRDefault="00E1701D" w:rsidP="00B42877">
            <w:pPr>
              <w:spacing w:before="60"/>
              <w:rPr>
                <w:color w:val="auto"/>
                <w:sz w:val="22"/>
                <w:szCs w:val="22"/>
              </w:rPr>
            </w:pPr>
          </w:p>
        </w:tc>
      </w:tr>
      <w:tr w:rsidR="00295D71" w:rsidRPr="002E71B3" w14:paraId="4AB0A206" w14:textId="77777777" w:rsidTr="00B42877">
        <w:tc>
          <w:tcPr>
            <w:tcW w:w="1153" w:type="dxa"/>
          </w:tcPr>
          <w:p w14:paraId="0ED98982" w14:textId="223A9090" w:rsidR="00295D71" w:rsidRDefault="00295D71" w:rsidP="00295D71">
            <w:pPr>
              <w:spacing w:before="60"/>
              <w:rPr>
                <w:color w:val="auto"/>
                <w:sz w:val="22"/>
                <w:szCs w:val="22"/>
              </w:rPr>
            </w:pPr>
            <w:r>
              <w:rPr>
                <w:color w:val="auto"/>
                <w:sz w:val="22"/>
                <w:szCs w:val="22"/>
              </w:rPr>
              <w:t>11.3</w:t>
            </w:r>
          </w:p>
        </w:tc>
        <w:tc>
          <w:tcPr>
            <w:tcW w:w="4568" w:type="dxa"/>
          </w:tcPr>
          <w:p w14:paraId="4A7D052A" w14:textId="0254A05A" w:rsidR="00295D71" w:rsidRPr="0027448E" w:rsidRDefault="00295D71" w:rsidP="00295D71">
            <w:pPr>
              <w:spacing w:before="60"/>
              <w:rPr>
                <w:rFonts w:cs="Arial"/>
                <w:color w:val="auto"/>
                <w:sz w:val="22"/>
                <w:szCs w:val="22"/>
              </w:rPr>
            </w:pPr>
            <w:r w:rsidRPr="0027448E">
              <w:rPr>
                <w:rFonts w:cs="Arial"/>
                <w:color w:val="auto"/>
                <w:sz w:val="22"/>
                <w:szCs w:val="22"/>
              </w:rPr>
              <w:t xml:space="preserve">Enable health records to be securely transferred between practices within 10 working days via a </w:t>
            </w:r>
            <w:r w:rsidR="00505603">
              <w:rPr>
                <w:rFonts w:cs="Arial"/>
                <w:color w:val="auto"/>
                <w:sz w:val="22"/>
                <w:szCs w:val="22"/>
              </w:rPr>
              <w:t xml:space="preserve">monitored </w:t>
            </w:r>
            <w:r w:rsidRPr="0027448E">
              <w:rPr>
                <w:rFonts w:cs="Arial"/>
                <w:color w:val="auto"/>
                <w:sz w:val="22"/>
                <w:szCs w:val="22"/>
              </w:rPr>
              <w:t>tracking system</w:t>
            </w:r>
            <w:r w:rsidR="00505603">
              <w:rPr>
                <w:rFonts w:cs="Arial"/>
                <w:color w:val="auto"/>
                <w:sz w:val="22"/>
                <w:szCs w:val="22"/>
              </w:rPr>
              <w:t xml:space="preserve">. </w:t>
            </w:r>
          </w:p>
        </w:tc>
        <w:tc>
          <w:tcPr>
            <w:tcW w:w="4075" w:type="dxa"/>
          </w:tcPr>
          <w:p w14:paraId="393BEAEF" w14:textId="039855B8" w:rsidR="00295D71" w:rsidRDefault="00505603" w:rsidP="00295D71">
            <w:pPr>
              <w:spacing w:before="60"/>
              <w:rPr>
                <w:color w:val="auto"/>
                <w:sz w:val="22"/>
                <w:szCs w:val="22"/>
              </w:rPr>
            </w:pPr>
            <w:r>
              <w:rPr>
                <w:color w:val="auto"/>
                <w:sz w:val="22"/>
                <w:szCs w:val="22"/>
              </w:rPr>
              <w:t>A d</w:t>
            </w:r>
            <w:r w:rsidR="00295D71">
              <w:rPr>
                <w:color w:val="auto"/>
                <w:sz w:val="22"/>
                <w:szCs w:val="22"/>
              </w:rPr>
              <w:t xml:space="preserve">ocumented </w:t>
            </w:r>
            <w:r w:rsidR="00C33715">
              <w:rPr>
                <w:color w:val="auto"/>
                <w:sz w:val="22"/>
                <w:szCs w:val="22"/>
              </w:rPr>
              <w:t xml:space="preserve">records transfer </w:t>
            </w:r>
            <w:r>
              <w:rPr>
                <w:color w:val="auto"/>
                <w:sz w:val="22"/>
                <w:szCs w:val="22"/>
              </w:rPr>
              <w:t xml:space="preserve">policy, </w:t>
            </w:r>
            <w:r w:rsidR="00295D71">
              <w:rPr>
                <w:color w:val="auto"/>
                <w:sz w:val="22"/>
                <w:szCs w:val="22"/>
              </w:rPr>
              <w:t>procedure and t</w:t>
            </w:r>
            <w:r w:rsidR="00295D71" w:rsidRPr="00A171CA">
              <w:rPr>
                <w:color w:val="auto"/>
                <w:sz w:val="22"/>
                <w:szCs w:val="22"/>
              </w:rPr>
              <w:t>racking system</w:t>
            </w:r>
            <w:r w:rsidR="00295D71">
              <w:rPr>
                <w:color w:val="auto"/>
                <w:sz w:val="22"/>
                <w:szCs w:val="22"/>
              </w:rPr>
              <w:t>, including timeframes</w:t>
            </w:r>
            <w:r w:rsidR="00295D71" w:rsidRPr="00A171CA">
              <w:rPr>
                <w:color w:val="auto"/>
                <w:sz w:val="22"/>
                <w:szCs w:val="22"/>
              </w:rPr>
              <w:t xml:space="preserve"> for records transfer in and out of the practice.</w:t>
            </w:r>
          </w:p>
        </w:tc>
      </w:tr>
    </w:tbl>
    <w:p w14:paraId="643695F4" w14:textId="77777777" w:rsidR="00002AC1" w:rsidRPr="005B2DE1" w:rsidRDefault="00002AC1" w:rsidP="00002AC1">
      <w:pPr>
        <w:pStyle w:val="HHLBodyText"/>
        <w:spacing w:before="240"/>
        <w:rPr>
          <w:b/>
          <w:sz w:val="22"/>
          <w:szCs w:val="22"/>
        </w:rPr>
      </w:pPr>
      <w:r w:rsidRPr="005B2DE1">
        <w:rPr>
          <w:b/>
          <w:sz w:val="22"/>
          <w:szCs w:val="22"/>
        </w:rPr>
        <w:t>Required training</w:t>
      </w:r>
    </w:p>
    <w:p w14:paraId="1D238F87" w14:textId="1C16794E" w:rsidR="00002AC1" w:rsidRPr="00EF0A0E" w:rsidRDefault="00187173"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1950F808" w14:textId="77777777" w:rsidR="00002AC1" w:rsidRDefault="00002AC1" w:rsidP="00002AC1">
      <w:pPr>
        <w:pStyle w:val="HHLBodyText"/>
        <w:spacing w:before="240"/>
        <w:rPr>
          <w:b/>
          <w:sz w:val="22"/>
          <w:szCs w:val="22"/>
        </w:rPr>
      </w:pPr>
      <w:r w:rsidRPr="005B2DE1">
        <w:rPr>
          <w:b/>
          <w:sz w:val="22"/>
          <w:szCs w:val="22"/>
        </w:rPr>
        <w:t>Guidance notes</w:t>
      </w:r>
    </w:p>
    <w:p w14:paraId="60F91B80" w14:textId="02B4DD01" w:rsidR="00D13FFF" w:rsidRPr="00AA1724" w:rsidRDefault="00D13FFF" w:rsidP="00D13FFF">
      <w:pPr>
        <w:rPr>
          <w:color w:val="auto"/>
          <w:sz w:val="22"/>
          <w:szCs w:val="22"/>
        </w:rPr>
      </w:pPr>
      <w:r w:rsidRPr="00AA1724">
        <w:rPr>
          <w:color w:val="auto"/>
          <w:sz w:val="22"/>
          <w:szCs w:val="22"/>
        </w:rPr>
        <w:t xml:space="preserve">The practice is required to complete </w:t>
      </w:r>
      <w:hyperlink r:id="rId100" w:history="1">
        <w:r w:rsidRPr="00AA1724">
          <w:rPr>
            <w:color w:val="auto"/>
            <w:sz w:val="22"/>
            <w:szCs w:val="22"/>
            <w:u w:color="0000FF"/>
          </w:rPr>
          <w:t>Enrolment requirements for primary health organisations</w:t>
        </w:r>
      </w:hyperlink>
      <w:r w:rsidRPr="00AA1724">
        <w:rPr>
          <w:color w:val="auto"/>
          <w:sz w:val="22"/>
          <w:szCs w:val="22"/>
        </w:rPr>
        <w:t xml:space="preserve">, </w:t>
      </w:r>
      <w:hyperlink r:id="rId101" w:history="1">
        <w:r w:rsidRPr="00AA1724">
          <w:rPr>
            <w:rStyle w:val="Hyperlink"/>
            <w:color w:val="auto"/>
            <w:sz w:val="22"/>
            <w:szCs w:val="22"/>
          </w:rPr>
          <w:t>Enrolling with a primary health organisation</w:t>
        </w:r>
      </w:hyperlink>
      <w:r w:rsidRPr="00AA1724">
        <w:rPr>
          <w:color w:val="auto"/>
          <w:sz w:val="22"/>
          <w:szCs w:val="22"/>
        </w:rPr>
        <w:t xml:space="preserve">.  </w:t>
      </w:r>
    </w:p>
    <w:p w14:paraId="18DE8B02" w14:textId="77777777" w:rsidR="000C1F46" w:rsidRPr="00B22222" w:rsidRDefault="000C1F46" w:rsidP="00B22222">
      <w:pPr>
        <w:pStyle w:val="HHLBodyText"/>
        <w:spacing w:before="240"/>
        <w:rPr>
          <w:i/>
        </w:rPr>
      </w:pPr>
      <w:r w:rsidRPr="00B22222">
        <w:rPr>
          <w:i/>
        </w:rPr>
        <w:t>Entering ethnicity data</w:t>
      </w:r>
    </w:p>
    <w:p w14:paraId="2C877A69" w14:textId="35B54E2E" w:rsidR="000C1F46" w:rsidRPr="00E1701D" w:rsidRDefault="000C1F46" w:rsidP="000C1F46">
      <w:pPr>
        <w:rPr>
          <w:rFonts w:cs="Arial"/>
          <w:color w:val="auto"/>
          <w:sz w:val="22"/>
          <w:szCs w:val="22"/>
        </w:rPr>
      </w:pPr>
      <w:r w:rsidRPr="00E1701D">
        <w:rPr>
          <w:rFonts w:cs="Arial"/>
          <w:color w:val="auto"/>
          <w:sz w:val="22"/>
          <w:szCs w:val="22"/>
        </w:rPr>
        <w:t xml:space="preserve">The ethnicity question must be worded and set out exactly as specified by the Ministry of Health as this is the standard ethnicity question required by the </w:t>
      </w:r>
      <w:hyperlink r:id="rId102" w:history="1">
        <w:r w:rsidRPr="00E1701D">
          <w:rPr>
            <w:rFonts w:cs="Arial"/>
            <w:color w:val="auto"/>
            <w:sz w:val="22"/>
            <w:szCs w:val="22"/>
            <w:u w:color="0000FF"/>
          </w:rPr>
          <w:t>Ethnicity data protocols for the health and disability sector</w:t>
        </w:r>
      </w:hyperlink>
      <w:r w:rsidRPr="00E1701D">
        <w:rPr>
          <w:rFonts w:cs="Arial"/>
          <w:color w:val="auto"/>
          <w:sz w:val="22"/>
          <w:szCs w:val="22"/>
        </w:rPr>
        <w:t>.</w:t>
      </w:r>
    </w:p>
    <w:p w14:paraId="2F5257B3" w14:textId="77777777" w:rsidR="000C1F46" w:rsidRPr="002906F5" w:rsidRDefault="000C1F46" w:rsidP="00470DE0">
      <w:pPr>
        <w:pStyle w:val="HHLBodyText"/>
        <w:spacing w:before="240"/>
        <w:rPr>
          <w:i/>
        </w:rPr>
      </w:pPr>
      <w:r w:rsidRPr="002906F5">
        <w:rPr>
          <w:i/>
        </w:rPr>
        <w:t xml:space="preserve">Complying with the Health Information Privacy Code 1994 </w:t>
      </w:r>
    </w:p>
    <w:p w14:paraId="5410C261" w14:textId="0D947795" w:rsidR="000C1F46" w:rsidRPr="00DD24D5" w:rsidRDefault="00E47260" w:rsidP="000C1F46">
      <w:r>
        <w:rPr>
          <w:color w:val="auto"/>
          <w:sz w:val="22"/>
          <w:szCs w:val="22"/>
        </w:rPr>
        <w:t xml:space="preserve">You should be familiar with the requirements of the </w:t>
      </w:r>
      <w:r w:rsidR="000C1F46" w:rsidRPr="00EC51D1">
        <w:rPr>
          <w:color w:val="auto"/>
          <w:sz w:val="22"/>
          <w:szCs w:val="22"/>
        </w:rPr>
        <w:t>Health Information Privacy Code 1994, particularly Rule</w:t>
      </w:r>
      <w:r w:rsidR="00EC51D1">
        <w:rPr>
          <w:color w:val="auto"/>
          <w:sz w:val="22"/>
          <w:szCs w:val="22"/>
        </w:rPr>
        <w:t>s</w:t>
      </w:r>
      <w:r w:rsidR="000C1F46" w:rsidRPr="00EC51D1">
        <w:rPr>
          <w:color w:val="auto"/>
          <w:sz w:val="22"/>
          <w:szCs w:val="22"/>
        </w:rPr>
        <w:t xml:space="preserve"> 3 and 4</w:t>
      </w:r>
      <w:r>
        <w:rPr>
          <w:color w:val="auto"/>
          <w:sz w:val="22"/>
          <w:szCs w:val="22"/>
        </w:rPr>
        <w:t xml:space="preserve"> relating to the collection of health information and Rule 6 relating to the access, including </w:t>
      </w:r>
      <w:r w:rsidR="00484C39">
        <w:rPr>
          <w:color w:val="auto"/>
          <w:sz w:val="22"/>
          <w:szCs w:val="22"/>
        </w:rPr>
        <w:t>transfer</w:t>
      </w:r>
      <w:r>
        <w:rPr>
          <w:color w:val="auto"/>
          <w:sz w:val="22"/>
          <w:szCs w:val="22"/>
        </w:rPr>
        <w:t>, of health information.</w:t>
      </w:r>
    </w:p>
    <w:p w14:paraId="03E54D48" w14:textId="77777777" w:rsidR="000C1F46" w:rsidRPr="009272D6" w:rsidRDefault="000C1F46" w:rsidP="00E47260">
      <w:pPr>
        <w:pStyle w:val="HHLBodyText"/>
        <w:spacing w:before="240"/>
        <w:rPr>
          <w:i/>
        </w:rPr>
      </w:pPr>
      <w:r w:rsidRPr="009272D6">
        <w:rPr>
          <w:i/>
        </w:rPr>
        <w:t>Tracking of clinical records to, from, and within the practice</w:t>
      </w:r>
    </w:p>
    <w:p w14:paraId="0ED287A5" w14:textId="77777777" w:rsidR="000C1F46" w:rsidRPr="006D2DC0" w:rsidRDefault="000C1F46" w:rsidP="000C1F46">
      <w:pPr>
        <w:rPr>
          <w:color w:val="auto"/>
          <w:sz w:val="22"/>
          <w:szCs w:val="22"/>
        </w:rPr>
      </w:pPr>
      <w:r w:rsidRPr="006D2DC0">
        <w:rPr>
          <w:color w:val="auto"/>
          <w:sz w:val="22"/>
          <w:szCs w:val="22"/>
        </w:rPr>
        <w:t>Patients and practices need assurance that any hardcopy health information transferred between providers reaches the intended recipient. Information management to track health records may be in an electronic or hardcopy format.</w:t>
      </w:r>
    </w:p>
    <w:p w14:paraId="3DAA792B" w14:textId="5AF3088D" w:rsidR="000C1F46" w:rsidRPr="006D2DC0" w:rsidRDefault="000C1F46" w:rsidP="000C1F46">
      <w:pPr>
        <w:rPr>
          <w:color w:val="auto"/>
          <w:sz w:val="22"/>
          <w:szCs w:val="22"/>
        </w:rPr>
      </w:pPr>
      <w:r w:rsidRPr="006D2DC0">
        <w:rPr>
          <w:color w:val="auto"/>
          <w:sz w:val="22"/>
          <w:szCs w:val="22"/>
        </w:rPr>
        <w:t>Examples of tracking receipt of health records by another authorised agency may include the inclusion of a fax-back form, the use of registered mail or courier packs with a signature required to authorise release and confirm receipt.</w:t>
      </w:r>
      <w:r w:rsidR="008138FD" w:rsidRPr="006D2DC0">
        <w:rPr>
          <w:color w:val="auto"/>
          <w:sz w:val="22"/>
          <w:szCs w:val="22"/>
        </w:rPr>
        <w:t xml:space="preserve"> The transfer of hardcopy notes between practices should only take place using track and trace services such as courier. The use of standard postal services is not considered secure.</w:t>
      </w:r>
    </w:p>
    <w:p w14:paraId="4FF73140" w14:textId="77777777" w:rsidR="000C1F46" w:rsidRPr="00386AF0" w:rsidRDefault="000C1F46" w:rsidP="008D486E">
      <w:pPr>
        <w:pStyle w:val="HHLBodyText"/>
        <w:spacing w:before="180"/>
        <w:rPr>
          <w:i/>
        </w:rPr>
      </w:pPr>
      <w:r w:rsidRPr="00386AF0">
        <w:rPr>
          <w:i/>
        </w:rPr>
        <w:t>Using an electronic system to transfer records</w:t>
      </w:r>
    </w:p>
    <w:p w14:paraId="1C1C14BF" w14:textId="2D521F80" w:rsidR="000C1F46" w:rsidRPr="00E43A37" w:rsidRDefault="008138FD" w:rsidP="000C1F46">
      <w:pPr>
        <w:rPr>
          <w:color w:val="auto"/>
          <w:sz w:val="22"/>
          <w:szCs w:val="22"/>
        </w:rPr>
      </w:pPr>
      <w:r w:rsidRPr="00E43A37">
        <w:rPr>
          <w:color w:val="auto"/>
          <w:sz w:val="22"/>
          <w:szCs w:val="22"/>
        </w:rPr>
        <w:t>A</w:t>
      </w:r>
      <w:r w:rsidR="000C1F46" w:rsidRPr="00E43A37">
        <w:rPr>
          <w:color w:val="auto"/>
          <w:sz w:val="22"/>
          <w:szCs w:val="22"/>
        </w:rPr>
        <w:t xml:space="preserve"> system like GP2GP, which has the capability to transfer a patient’s files electronically from one general practice system to another</w:t>
      </w:r>
      <w:r w:rsidR="00E43A37" w:rsidRPr="00E43A37">
        <w:rPr>
          <w:color w:val="auto"/>
          <w:sz w:val="22"/>
          <w:szCs w:val="22"/>
        </w:rPr>
        <w:t xml:space="preserve">, </w:t>
      </w:r>
      <w:r w:rsidR="000C1F46" w:rsidRPr="00E43A37">
        <w:rPr>
          <w:color w:val="auto"/>
          <w:sz w:val="22"/>
          <w:szCs w:val="22"/>
        </w:rPr>
        <w:t xml:space="preserve">allows </w:t>
      </w:r>
      <w:r w:rsidR="00E43A37" w:rsidRPr="00E43A37">
        <w:rPr>
          <w:color w:val="auto"/>
          <w:sz w:val="22"/>
          <w:szCs w:val="22"/>
        </w:rPr>
        <w:t>the</w:t>
      </w:r>
      <w:r w:rsidR="000C1F46" w:rsidRPr="00E43A37">
        <w:rPr>
          <w:color w:val="auto"/>
          <w:sz w:val="22"/>
          <w:szCs w:val="22"/>
        </w:rPr>
        <w:t xml:space="preserve"> transfer </w:t>
      </w:r>
      <w:r w:rsidR="00E43A37" w:rsidRPr="00E43A37">
        <w:rPr>
          <w:color w:val="auto"/>
          <w:sz w:val="22"/>
          <w:szCs w:val="22"/>
        </w:rPr>
        <w:t xml:space="preserve">of </w:t>
      </w:r>
      <w:r w:rsidR="000C1F46" w:rsidRPr="00E43A37">
        <w:rPr>
          <w:color w:val="auto"/>
          <w:sz w:val="22"/>
          <w:szCs w:val="22"/>
        </w:rPr>
        <w:t>record</w:t>
      </w:r>
      <w:r w:rsidR="00E43A37" w:rsidRPr="00E43A37">
        <w:rPr>
          <w:color w:val="auto"/>
          <w:sz w:val="22"/>
          <w:szCs w:val="22"/>
        </w:rPr>
        <w:t>s</w:t>
      </w:r>
      <w:r w:rsidR="000C1F46" w:rsidRPr="00E43A37">
        <w:rPr>
          <w:color w:val="auto"/>
          <w:sz w:val="22"/>
          <w:szCs w:val="22"/>
        </w:rPr>
        <w:t xml:space="preserve"> reliably, securely and accurately.</w:t>
      </w:r>
    </w:p>
    <w:p w14:paraId="405A7E6E" w14:textId="77777777" w:rsidR="00002AC1" w:rsidRPr="00356116" w:rsidRDefault="00002AC1" w:rsidP="008D486E">
      <w:pPr>
        <w:spacing w:before="180"/>
        <w:rPr>
          <w:b/>
          <w:color w:val="auto"/>
          <w:sz w:val="22"/>
          <w:szCs w:val="22"/>
        </w:rPr>
      </w:pPr>
      <w:r w:rsidRPr="00356116">
        <w:rPr>
          <w:b/>
          <w:color w:val="auto"/>
          <w:sz w:val="22"/>
          <w:szCs w:val="22"/>
        </w:rPr>
        <w:t>Resources</w:t>
      </w:r>
    </w:p>
    <w:p w14:paraId="53B5FB67" w14:textId="0DF3D188" w:rsidR="000A082B" w:rsidRPr="0024030C" w:rsidRDefault="00CF1416" w:rsidP="008D486E">
      <w:pPr>
        <w:pStyle w:val="Resourcelist"/>
        <w:spacing w:after="0"/>
        <w:rPr>
          <w:rStyle w:val="Hyperlink"/>
          <w:color w:val="0000FF"/>
        </w:rPr>
      </w:pPr>
      <w:hyperlink r:id="rId103" w:history="1">
        <w:r w:rsidR="000A082B" w:rsidRPr="0024030C">
          <w:rPr>
            <w:rStyle w:val="Hyperlink"/>
            <w:rFonts w:ascii="Arial" w:hAnsi="Arial" w:cs="Arial"/>
            <w:color w:val="0000FF"/>
          </w:rPr>
          <w:t>Ministry of Health, Enrolment in a primary health organisation</w:t>
        </w:r>
      </w:hyperlink>
    </w:p>
    <w:p w14:paraId="02F0D04C" w14:textId="185CDBDE" w:rsidR="000A082B" w:rsidRPr="0024030C" w:rsidRDefault="00CF1416" w:rsidP="008D486E">
      <w:pPr>
        <w:pStyle w:val="Resourcelist"/>
        <w:spacing w:after="0"/>
        <w:rPr>
          <w:rStyle w:val="Hyperlink"/>
          <w:color w:val="0000FF"/>
        </w:rPr>
      </w:pPr>
      <w:hyperlink r:id="rId104" w:history="1">
        <w:r w:rsidR="000A082B" w:rsidRPr="0024030C">
          <w:rPr>
            <w:rStyle w:val="Hyperlink"/>
            <w:rFonts w:ascii="Arial" w:hAnsi="Arial" w:cs="Arial"/>
            <w:color w:val="0000FF"/>
          </w:rPr>
          <w:t>Ministry of Health, National Enrolment Service</w:t>
        </w:r>
      </w:hyperlink>
    </w:p>
    <w:p w14:paraId="3A0A741D" w14:textId="65A97D62" w:rsidR="000C1F46" w:rsidRPr="0024030C" w:rsidRDefault="00CF1416" w:rsidP="008D486E">
      <w:pPr>
        <w:pStyle w:val="Resourcelist"/>
        <w:spacing w:after="0"/>
        <w:rPr>
          <w:rStyle w:val="Hyperlink"/>
          <w:color w:val="0000FF"/>
        </w:rPr>
      </w:pPr>
      <w:hyperlink r:id="rId105" w:history="1">
        <w:r w:rsidR="000C1F46" w:rsidRPr="0024030C">
          <w:rPr>
            <w:rStyle w:val="Hyperlink"/>
            <w:rFonts w:ascii="Arial" w:hAnsi="Arial" w:cs="Arial"/>
            <w:color w:val="0000FF"/>
          </w:rPr>
          <w:t>MCNZ</w:t>
        </w:r>
        <w:r w:rsidR="004049DA" w:rsidRPr="0024030C">
          <w:rPr>
            <w:rStyle w:val="Hyperlink"/>
            <w:rFonts w:ascii="Arial" w:hAnsi="Arial" w:cs="Arial"/>
            <w:color w:val="0000FF"/>
          </w:rPr>
          <w:t>,</w:t>
        </w:r>
        <w:r w:rsidR="000C1F46" w:rsidRPr="0024030C">
          <w:rPr>
            <w:rStyle w:val="Hyperlink"/>
            <w:rFonts w:ascii="Arial" w:hAnsi="Arial" w:cs="Arial"/>
            <w:color w:val="0000FF"/>
          </w:rPr>
          <w:t xml:space="preserve"> The maintenance and retention of patient records</w:t>
        </w:r>
      </w:hyperlink>
    </w:p>
    <w:p w14:paraId="52188422" w14:textId="743E2B35" w:rsidR="000C1F46" w:rsidRPr="0024030C" w:rsidRDefault="00CF1416" w:rsidP="008D486E">
      <w:pPr>
        <w:pStyle w:val="Resourcelist"/>
        <w:spacing w:after="0"/>
        <w:rPr>
          <w:rStyle w:val="Hyperlink"/>
          <w:color w:val="0000FF"/>
        </w:rPr>
      </w:pPr>
      <w:hyperlink r:id="rId106" w:history="1">
        <w:r w:rsidR="000C1F46" w:rsidRPr="0024030C">
          <w:rPr>
            <w:rStyle w:val="Hyperlink"/>
            <w:rFonts w:ascii="Arial" w:hAnsi="Arial" w:cs="Arial"/>
            <w:color w:val="0000FF"/>
          </w:rPr>
          <w:t>Ministry of Health</w:t>
        </w:r>
        <w:r w:rsidR="004049DA" w:rsidRPr="0024030C">
          <w:rPr>
            <w:rStyle w:val="Hyperlink"/>
            <w:rFonts w:ascii="Arial" w:hAnsi="Arial" w:cs="Arial"/>
            <w:color w:val="0000FF"/>
          </w:rPr>
          <w:t>,</w:t>
        </w:r>
        <w:r w:rsidR="000C1F46" w:rsidRPr="0024030C">
          <w:rPr>
            <w:rStyle w:val="Hyperlink"/>
            <w:rFonts w:ascii="Arial" w:hAnsi="Arial" w:cs="Arial"/>
            <w:color w:val="0000FF"/>
          </w:rPr>
          <w:t xml:space="preserve"> Ethnicity data protocols</w:t>
        </w:r>
      </w:hyperlink>
    </w:p>
    <w:p w14:paraId="7D60B222" w14:textId="77777777" w:rsidR="004049DA" w:rsidRPr="00983C60" w:rsidRDefault="00CF1416" w:rsidP="0024030C">
      <w:pPr>
        <w:pStyle w:val="Resourcelist"/>
        <w:spacing w:after="120"/>
        <w:rPr>
          <w:rStyle w:val="Hyperlink"/>
          <w:rFonts w:ascii="Arial" w:hAnsi="Arial" w:cs="Arial"/>
          <w:color w:val="0000FF"/>
        </w:rPr>
      </w:pPr>
      <w:hyperlink r:id="rId107" w:history="1">
        <w:r w:rsidR="004049DA" w:rsidRPr="00983C60">
          <w:rPr>
            <w:rStyle w:val="Hyperlink"/>
            <w:rFonts w:ascii="Arial" w:hAnsi="Arial" w:cs="Arial"/>
            <w:color w:val="0000FF"/>
          </w:rPr>
          <w:t>Patients First: GP2GP</w:t>
        </w:r>
      </w:hyperlink>
    </w:p>
    <w:p w14:paraId="6FA7A025" w14:textId="054014E4" w:rsidR="00B52DDD" w:rsidRDefault="008D1B05" w:rsidP="001B256A">
      <w:pPr>
        <w:pStyle w:val="HHLSubHeading"/>
        <w:numPr>
          <w:ilvl w:val="0"/>
          <w:numId w:val="0"/>
        </w:numPr>
      </w:pPr>
      <w:bookmarkStart w:id="49" w:name="_Toc6998670"/>
      <w:r w:rsidRPr="00902640">
        <w:lastRenderedPageBreak/>
        <w:t xml:space="preserve">Indicator </w:t>
      </w:r>
      <w:r>
        <w:t>1</w:t>
      </w:r>
      <w:r w:rsidR="007571E6">
        <w:t>2</w:t>
      </w:r>
      <w:r w:rsidRPr="00902640">
        <w:t>.</w:t>
      </w:r>
      <w:r>
        <w:t xml:space="preserve"> </w:t>
      </w:r>
      <w:r w:rsidR="00B52DDD">
        <w:t>Patient records</w:t>
      </w:r>
      <w:bookmarkEnd w:id="49"/>
    </w:p>
    <w:p w14:paraId="390C2458" w14:textId="418D955B" w:rsidR="008D1B05" w:rsidRPr="005E1B5C" w:rsidRDefault="0086507B" w:rsidP="005E1B5C">
      <w:pPr>
        <w:pStyle w:val="HHLBodyText"/>
        <w:rPr>
          <w:b/>
        </w:rPr>
      </w:pPr>
      <w:r w:rsidRPr="005E1B5C">
        <w:rPr>
          <w:b/>
        </w:rPr>
        <w:t>Our practice has electronic patient records that describe and support the management of the health care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4542"/>
        <w:gridCol w:w="4049"/>
      </w:tblGrid>
      <w:tr w:rsidR="008D1B05" w:rsidRPr="002E71B3" w14:paraId="374875EF" w14:textId="77777777" w:rsidTr="00236854">
        <w:tc>
          <w:tcPr>
            <w:tcW w:w="1153" w:type="dxa"/>
            <w:shd w:val="clear" w:color="auto" w:fill="FBD4B4" w:themeFill="accent6" w:themeFillTint="66"/>
          </w:tcPr>
          <w:p w14:paraId="21DB0529" w14:textId="77777777" w:rsidR="008D1B05" w:rsidRPr="002E71B3" w:rsidRDefault="008D1B05" w:rsidP="008C2DB7">
            <w:pPr>
              <w:spacing w:before="120" w:after="120"/>
              <w:rPr>
                <w:b/>
                <w:color w:val="auto"/>
                <w:sz w:val="22"/>
                <w:szCs w:val="22"/>
              </w:rPr>
            </w:pPr>
            <w:r w:rsidRPr="002E71B3">
              <w:rPr>
                <w:b/>
                <w:color w:val="auto"/>
                <w:sz w:val="22"/>
                <w:szCs w:val="22"/>
              </w:rPr>
              <w:t xml:space="preserve">Criteria </w:t>
            </w:r>
          </w:p>
        </w:tc>
        <w:tc>
          <w:tcPr>
            <w:tcW w:w="4568" w:type="dxa"/>
            <w:shd w:val="clear" w:color="auto" w:fill="FBD4B4" w:themeFill="accent6" w:themeFillTint="66"/>
          </w:tcPr>
          <w:p w14:paraId="6A61AA6B" w14:textId="77777777" w:rsidR="008D1B05" w:rsidRPr="002E71B3" w:rsidRDefault="008D1B05" w:rsidP="008C2DB7">
            <w:pPr>
              <w:spacing w:before="120" w:after="120"/>
              <w:rPr>
                <w:b/>
                <w:color w:val="auto"/>
                <w:sz w:val="22"/>
                <w:szCs w:val="22"/>
              </w:rPr>
            </w:pPr>
            <w:r w:rsidRPr="002E71B3">
              <w:rPr>
                <w:b/>
                <w:color w:val="auto"/>
                <w:sz w:val="22"/>
                <w:szCs w:val="22"/>
              </w:rPr>
              <w:t>Your practice is required to:</w:t>
            </w:r>
          </w:p>
        </w:tc>
        <w:tc>
          <w:tcPr>
            <w:tcW w:w="4075" w:type="dxa"/>
            <w:shd w:val="clear" w:color="auto" w:fill="FBD4B4" w:themeFill="accent6" w:themeFillTint="66"/>
          </w:tcPr>
          <w:p w14:paraId="3FD3B160" w14:textId="03B77CA8" w:rsidR="008D1B05" w:rsidRPr="002E71B3" w:rsidRDefault="008D1B05" w:rsidP="008C2DB7">
            <w:pPr>
              <w:spacing w:before="120" w:after="120"/>
              <w:rPr>
                <w:b/>
                <w:color w:val="auto"/>
                <w:sz w:val="22"/>
                <w:szCs w:val="22"/>
              </w:rPr>
            </w:pPr>
            <w:r w:rsidRPr="002E71B3">
              <w:rPr>
                <w:b/>
                <w:color w:val="auto"/>
                <w:sz w:val="22"/>
                <w:szCs w:val="22"/>
              </w:rPr>
              <w:t>Required evidence</w:t>
            </w:r>
          </w:p>
        </w:tc>
      </w:tr>
      <w:tr w:rsidR="008D1B05" w:rsidRPr="002E71B3" w14:paraId="26D94204" w14:textId="77777777" w:rsidTr="00236854">
        <w:tc>
          <w:tcPr>
            <w:tcW w:w="1153" w:type="dxa"/>
          </w:tcPr>
          <w:p w14:paraId="71E1254B" w14:textId="4CB35EA6" w:rsidR="008D1B05" w:rsidRPr="000F513E" w:rsidRDefault="008D1B05" w:rsidP="008C2DB7">
            <w:pPr>
              <w:spacing w:before="60"/>
              <w:rPr>
                <w:color w:val="auto"/>
                <w:sz w:val="22"/>
                <w:szCs w:val="22"/>
              </w:rPr>
            </w:pPr>
            <w:r>
              <w:rPr>
                <w:color w:val="auto"/>
                <w:sz w:val="22"/>
                <w:szCs w:val="22"/>
              </w:rPr>
              <w:t>1</w:t>
            </w:r>
            <w:r w:rsidR="007571E6">
              <w:rPr>
                <w:color w:val="auto"/>
                <w:sz w:val="22"/>
                <w:szCs w:val="22"/>
              </w:rPr>
              <w:t>2</w:t>
            </w:r>
            <w:r w:rsidRPr="000F513E">
              <w:rPr>
                <w:color w:val="auto"/>
                <w:sz w:val="22"/>
                <w:szCs w:val="22"/>
              </w:rPr>
              <w:t>.1</w:t>
            </w:r>
          </w:p>
        </w:tc>
        <w:tc>
          <w:tcPr>
            <w:tcW w:w="4568" w:type="dxa"/>
          </w:tcPr>
          <w:p w14:paraId="4A9A7928" w14:textId="7610199A" w:rsidR="0058663A" w:rsidRPr="0058663A" w:rsidRDefault="0058663A" w:rsidP="0058663A">
            <w:pPr>
              <w:spacing w:before="60"/>
              <w:rPr>
                <w:rFonts w:cs="Arial"/>
                <w:color w:val="auto"/>
                <w:sz w:val="22"/>
                <w:szCs w:val="22"/>
              </w:rPr>
            </w:pPr>
            <w:r w:rsidRPr="0058663A">
              <w:rPr>
                <w:rFonts w:cs="Arial"/>
                <w:color w:val="auto"/>
                <w:sz w:val="22"/>
                <w:szCs w:val="22"/>
              </w:rPr>
              <w:t>Ensure that electronic patient records contain information to identify the patient and document:</w:t>
            </w:r>
          </w:p>
          <w:p w14:paraId="2326DC95" w14:textId="3C10A058" w:rsidR="0058663A" w:rsidRPr="0058663A" w:rsidRDefault="0058663A" w:rsidP="00940548">
            <w:pPr>
              <w:pStyle w:val="ListParagraph"/>
              <w:numPr>
                <w:ilvl w:val="2"/>
                <w:numId w:val="15"/>
              </w:numPr>
              <w:spacing w:before="60"/>
              <w:ind w:left="181"/>
              <w:contextualSpacing w:val="0"/>
              <w:rPr>
                <w:rFonts w:cs="Arial"/>
                <w:color w:val="auto"/>
                <w:sz w:val="22"/>
                <w:szCs w:val="22"/>
              </w:rPr>
            </w:pPr>
            <w:r w:rsidRPr="0058663A">
              <w:rPr>
                <w:rFonts w:cs="Arial"/>
                <w:color w:val="auto"/>
                <w:sz w:val="22"/>
                <w:szCs w:val="22"/>
              </w:rPr>
              <w:t>The reason(s) for the encounter</w:t>
            </w:r>
            <w:r w:rsidR="000757E2">
              <w:rPr>
                <w:rFonts w:cs="Arial"/>
                <w:color w:val="auto"/>
                <w:sz w:val="22"/>
                <w:szCs w:val="22"/>
              </w:rPr>
              <w:t>.</w:t>
            </w:r>
          </w:p>
          <w:p w14:paraId="24E90CEF" w14:textId="64E429A8" w:rsidR="0058663A" w:rsidRPr="0058663A" w:rsidRDefault="0058663A" w:rsidP="00940548">
            <w:pPr>
              <w:pStyle w:val="ListParagraph"/>
              <w:numPr>
                <w:ilvl w:val="2"/>
                <w:numId w:val="15"/>
              </w:numPr>
              <w:spacing w:before="60"/>
              <w:ind w:left="181"/>
              <w:contextualSpacing w:val="0"/>
              <w:rPr>
                <w:rFonts w:cs="Arial"/>
                <w:color w:val="auto"/>
                <w:sz w:val="22"/>
                <w:szCs w:val="22"/>
              </w:rPr>
            </w:pPr>
            <w:r w:rsidRPr="0058663A">
              <w:rPr>
                <w:rFonts w:cs="Arial"/>
                <w:color w:val="auto"/>
                <w:sz w:val="22"/>
                <w:szCs w:val="22"/>
              </w:rPr>
              <w:t>Relevant examination and assessment</w:t>
            </w:r>
            <w:r w:rsidR="000757E2">
              <w:rPr>
                <w:rFonts w:cs="Arial"/>
                <w:color w:val="auto"/>
                <w:sz w:val="22"/>
                <w:szCs w:val="22"/>
              </w:rPr>
              <w:t>.</w:t>
            </w:r>
          </w:p>
          <w:p w14:paraId="1BA1E745" w14:textId="201EFC22" w:rsidR="0058663A" w:rsidRPr="0058663A" w:rsidRDefault="0058663A" w:rsidP="00940548">
            <w:pPr>
              <w:pStyle w:val="ListParagraph"/>
              <w:numPr>
                <w:ilvl w:val="2"/>
                <w:numId w:val="15"/>
              </w:numPr>
              <w:spacing w:before="60"/>
              <w:ind w:left="181"/>
              <w:contextualSpacing w:val="0"/>
              <w:rPr>
                <w:rFonts w:cs="Arial"/>
                <w:color w:val="auto"/>
                <w:sz w:val="22"/>
                <w:szCs w:val="22"/>
              </w:rPr>
            </w:pPr>
            <w:r w:rsidRPr="0058663A">
              <w:rPr>
                <w:rFonts w:cs="Arial"/>
                <w:color w:val="auto"/>
                <w:sz w:val="22"/>
                <w:szCs w:val="22"/>
              </w:rPr>
              <w:t>Management</w:t>
            </w:r>
            <w:r w:rsidR="000757E2">
              <w:rPr>
                <w:rFonts w:cs="Arial"/>
                <w:color w:val="auto"/>
                <w:sz w:val="22"/>
                <w:szCs w:val="22"/>
              </w:rPr>
              <w:t>.</w:t>
            </w:r>
          </w:p>
          <w:p w14:paraId="2D320F9E" w14:textId="5FBB5F9E" w:rsidR="0058663A" w:rsidRPr="0058663A" w:rsidRDefault="0058663A" w:rsidP="00940548">
            <w:pPr>
              <w:pStyle w:val="ListParagraph"/>
              <w:numPr>
                <w:ilvl w:val="2"/>
                <w:numId w:val="15"/>
              </w:numPr>
              <w:spacing w:before="60"/>
              <w:ind w:left="181"/>
              <w:contextualSpacing w:val="0"/>
              <w:rPr>
                <w:rFonts w:cs="Arial"/>
                <w:color w:val="auto"/>
                <w:sz w:val="22"/>
                <w:szCs w:val="22"/>
              </w:rPr>
            </w:pPr>
            <w:r w:rsidRPr="0058663A">
              <w:rPr>
                <w:rFonts w:cs="Arial"/>
                <w:color w:val="auto"/>
                <w:sz w:val="22"/>
                <w:szCs w:val="22"/>
              </w:rPr>
              <w:t>Progress and outcomes (management / risk factors / screening / referral / tests / investigations)</w:t>
            </w:r>
            <w:r w:rsidR="000757E2">
              <w:rPr>
                <w:rFonts w:cs="Arial"/>
                <w:color w:val="auto"/>
                <w:sz w:val="22"/>
                <w:szCs w:val="22"/>
              </w:rPr>
              <w:t>.</w:t>
            </w:r>
          </w:p>
          <w:p w14:paraId="45512EB8" w14:textId="3250243D" w:rsidR="008D1B05" w:rsidRPr="00CC1336" w:rsidRDefault="0058663A" w:rsidP="00940548">
            <w:pPr>
              <w:pStyle w:val="ListParagraph"/>
              <w:numPr>
                <w:ilvl w:val="2"/>
                <w:numId w:val="15"/>
              </w:numPr>
              <w:spacing w:before="60"/>
              <w:ind w:left="181"/>
              <w:contextualSpacing w:val="0"/>
              <w:rPr>
                <w:color w:val="auto"/>
                <w:sz w:val="22"/>
                <w:szCs w:val="22"/>
              </w:rPr>
            </w:pPr>
            <w:r w:rsidRPr="0058663A">
              <w:rPr>
                <w:rFonts w:cs="Arial"/>
                <w:color w:val="auto"/>
                <w:sz w:val="22"/>
                <w:szCs w:val="22"/>
              </w:rPr>
              <w:t>Follow-up and safety netting</w:t>
            </w:r>
            <w:r w:rsidR="000757E2">
              <w:rPr>
                <w:rFonts w:cs="Arial"/>
                <w:color w:val="auto"/>
                <w:sz w:val="22"/>
                <w:szCs w:val="22"/>
              </w:rPr>
              <w:t>.</w:t>
            </w:r>
          </w:p>
        </w:tc>
        <w:tc>
          <w:tcPr>
            <w:tcW w:w="4075" w:type="dxa"/>
          </w:tcPr>
          <w:p w14:paraId="567A248E" w14:textId="597053EE" w:rsidR="008D1B05" w:rsidRPr="00535059" w:rsidRDefault="00236854" w:rsidP="008C2DB7">
            <w:pPr>
              <w:spacing w:before="60"/>
              <w:rPr>
                <w:color w:val="auto"/>
                <w:sz w:val="22"/>
                <w:szCs w:val="22"/>
              </w:rPr>
            </w:pPr>
            <w:r w:rsidRPr="00535059">
              <w:rPr>
                <w:color w:val="auto"/>
                <w:sz w:val="22"/>
                <w:szCs w:val="22"/>
              </w:rPr>
              <w:t xml:space="preserve">A clinical notes review </w:t>
            </w:r>
            <w:r w:rsidRPr="00FB762C">
              <w:rPr>
                <w:color w:val="auto"/>
                <w:sz w:val="22"/>
                <w:szCs w:val="22"/>
              </w:rPr>
              <w:t>of 10 patient records in the 12 months prior to an onsite assessment is completed by all clinicians</w:t>
            </w:r>
          </w:p>
        </w:tc>
      </w:tr>
    </w:tbl>
    <w:p w14:paraId="2048F5ED" w14:textId="77777777" w:rsidR="00B31578" w:rsidRPr="005B2DE1" w:rsidRDefault="00B31578" w:rsidP="00B31578">
      <w:pPr>
        <w:pStyle w:val="HHLBodyText"/>
        <w:spacing w:before="240"/>
        <w:rPr>
          <w:b/>
          <w:sz w:val="22"/>
          <w:szCs w:val="22"/>
        </w:rPr>
      </w:pPr>
      <w:r w:rsidRPr="005B2DE1">
        <w:rPr>
          <w:b/>
          <w:sz w:val="22"/>
          <w:szCs w:val="22"/>
        </w:rPr>
        <w:t>Required training</w:t>
      </w:r>
    </w:p>
    <w:p w14:paraId="0F896A1A" w14:textId="09473E02" w:rsidR="00D4627A" w:rsidRPr="00EF0A0E" w:rsidRDefault="00C73610"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460E1634" w14:textId="595AB905" w:rsidR="008D1B05" w:rsidRDefault="008D1B05" w:rsidP="008D1B05">
      <w:pPr>
        <w:pStyle w:val="HHLBodyText"/>
        <w:spacing w:before="240"/>
        <w:rPr>
          <w:b/>
          <w:sz w:val="22"/>
          <w:szCs w:val="22"/>
        </w:rPr>
      </w:pPr>
      <w:r w:rsidRPr="005B2DE1">
        <w:rPr>
          <w:b/>
          <w:sz w:val="22"/>
          <w:szCs w:val="22"/>
        </w:rPr>
        <w:t>Guidance notes</w:t>
      </w:r>
    </w:p>
    <w:p w14:paraId="13288F41" w14:textId="6B22A793" w:rsidR="0049729F" w:rsidRPr="007F22F0" w:rsidRDefault="0049729F" w:rsidP="0049729F">
      <w:pPr>
        <w:rPr>
          <w:rFonts w:cs="Arial"/>
          <w:color w:val="auto"/>
          <w:sz w:val="22"/>
          <w:szCs w:val="22"/>
        </w:rPr>
      </w:pPr>
      <w:r w:rsidRPr="007F22F0">
        <w:rPr>
          <w:rFonts w:cs="Arial"/>
          <w:color w:val="auto"/>
          <w:sz w:val="22"/>
          <w:szCs w:val="22"/>
        </w:rPr>
        <w:t xml:space="preserve">Electronic records are essential for managing and auditing patient information. Continuity of care requires that information is robust and available when needed so that practice teams can manage and track conditions. Effective electronic data </w:t>
      </w:r>
      <w:r w:rsidR="005317D4">
        <w:rPr>
          <w:rFonts w:cs="Arial"/>
          <w:color w:val="auto"/>
          <w:sz w:val="22"/>
          <w:szCs w:val="22"/>
        </w:rPr>
        <w:t xml:space="preserve">must be </w:t>
      </w:r>
      <w:r w:rsidRPr="007F22F0">
        <w:rPr>
          <w:rFonts w:cs="Arial"/>
          <w:color w:val="auto"/>
          <w:sz w:val="22"/>
          <w:szCs w:val="22"/>
        </w:rPr>
        <w:t>up to date, readily accessible and safely stored.</w:t>
      </w:r>
    </w:p>
    <w:p w14:paraId="160C7E2B" w14:textId="41290929" w:rsidR="0049729F" w:rsidRPr="007F22F0" w:rsidRDefault="0049729F" w:rsidP="0049729F">
      <w:pPr>
        <w:rPr>
          <w:rFonts w:cs="Arial"/>
          <w:color w:val="auto"/>
          <w:sz w:val="22"/>
          <w:szCs w:val="22"/>
        </w:rPr>
      </w:pPr>
      <w:r w:rsidRPr="007F22F0">
        <w:rPr>
          <w:rFonts w:cs="Arial"/>
          <w:color w:val="auto"/>
          <w:sz w:val="22"/>
          <w:szCs w:val="22"/>
        </w:rPr>
        <w:t xml:space="preserve">Your PMS and other systems </w:t>
      </w:r>
      <w:r w:rsidR="00E22E1D">
        <w:rPr>
          <w:rFonts w:cs="Arial"/>
          <w:color w:val="auto"/>
          <w:sz w:val="22"/>
          <w:szCs w:val="22"/>
        </w:rPr>
        <w:t>must</w:t>
      </w:r>
      <w:r w:rsidRPr="007F22F0">
        <w:rPr>
          <w:rFonts w:cs="Arial"/>
          <w:color w:val="auto"/>
          <w:sz w:val="22"/>
          <w:szCs w:val="22"/>
        </w:rPr>
        <w:t xml:space="preserve"> provide:</w:t>
      </w:r>
    </w:p>
    <w:p w14:paraId="7850EB05" w14:textId="77777777" w:rsidR="0049729F" w:rsidRPr="007F22F0" w:rsidRDefault="0049729F" w:rsidP="006D11A9">
      <w:pPr>
        <w:pStyle w:val="Bullets"/>
        <w:ind w:left="567" w:hanging="567"/>
        <w:rPr>
          <w:rFonts w:ascii="Arial" w:hAnsi="Arial" w:cs="Arial"/>
          <w:color w:val="auto"/>
          <w:szCs w:val="22"/>
        </w:rPr>
      </w:pPr>
      <w:r w:rsidRPr="007F22F0">
        <w:rPr>
          <w:rFonts w:ascii="Arial" w:hAnsi="Arial" w:cs="Arial"/>
          <w:color w:val="auto"/>
          <w:szCs w:val="22"/>
        </w:rPr>
        <w:t xml:space="preserve">Information capability to support population healthy approaches: </w:t>
      </w:r>
    </w:p>
    <w:p w14:paraId="53550FE2" w14:textId="3938A4AF" w:rsidR="0049729F" w:rsidRPr="004B254F" w:rsidRDefault="004B44BE"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D</w:t>
      </w:r>
      <w:r w:rsidR="0049729F" w:rsidRPr="004B254F">
        <w:rPr>
          <w:rFonts w:ascii="Arial" w:hAnsi="Arial" w:cs="Arial"/>
          <w:color w:val="auto"/>
          <w:szCs w:val="22"/>
        </w:rPr>
        <w:t>isease registers</w:t>
      </w:r>
    </w:p>
    <w:p w14:paraId="014F2EB1" w14:textId="4D129B46"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P</w:t>
      </w:r>
      <w:r w:rsidR="0049729F" w:rsidRPr="007F22F0">
        <w:rPr>
          <w:rFonts w:ascii="Arial" w:hAnsi="Arial" w:cs="Arial"/>
          <w:color w:val="auto"/>
          <w:szCs w:val="22"/>
        </w:rPr>
        <w:t>atient databases</w:t>
      </w:r>
    </w:p>
    <w:p w14:paraId="55BEEAC1" w14:textId="5DDBB421"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R</w:t>
      </w:r>
      <w:r w:rsidR="0049729F" w:rsidRPr="007F22F0">
        <w:rPr>
          <w:rFonts w:ascii="Arial" w:hAnsi="Arial" w:cs="Arial"/>
          <w:color w:val="auto"/>
          <w:szCs w:val="22"/>
        </w:rPr>
        <w:t>isk assessment tools</w:t>
      </w:r>
    </w:p>
    <w:p w14:paraId="1840DFA2" w14:textId="77777777" w:rsidR="0049729F" w:rsidRPr="007F22F0" w:rsidRDefault="0049729F" w:rsidP="006D11A9">
      <w:pPr>
        <w:pStyle w:val="Bullets"/>
        <w:ind w:left="567" w:hanging="567"/>
        <w:rPr>
          <w:rFonts w:ascii="Arial" w:hAnsi="Arial" w:cs="Arial"/>
          <w:color w:val="auto"/>
          <w:szCs w:val="22"/>
        </w:rPr>
      </w:pPr>
      <w:r w:rsidRPr="007F22F0">
        <w:rPr>
          <w:rFonts w:ascii="Arial" w:hAnsi="Arial" w:cs="Arial"/>
          <w:color w:val="auto"/>
          <w:szCs w:val="22"/>
        </w:rPr>
        <w:t>Information systems to support proactive primary care over time:</w:t>
      </w:r>
    </w:p>
    <w:p w14:paraId="0BD00FEA" w14:textId="7BCA09AB"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C</w:t>
      </w:r>
      <w:r w:rsidR="0049729F" w:rsidRPr="007F22F0">
        <w:rPr>
          <w:rFonts w:ascii="Arial" w:hAnsi="Arial" w:cs="Arial"/>
          <w:color w:val="auto"/>
          <w:szCs w:val="22"/>
        </w:rPr>
        <w:t>ontact of at-risk populations</w:t>
      </w:r>
    </w:p>
    <w:p w14:paraId="47FF311D" w14:textId="44279E7C"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M</w:t>
      </w:r>
      <w:r w:rsidR="0049729F" w:rsidRPr="007F22F0">
        <w:rPr>
          <w:rFonts w:ascii="Arial" w:hAnsi="Arial" w:cs="Arial"/>
          <w:color w:val="auto"/>
          <w:szCs w:val="22"/>
        </w:rPr>
        <w:t>onitoring and follow-up</w:t>
      </w:r>
    </w:p>
    <w:p w14:paraId="240C0CB7" w14:textId="442D7FF5"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P</w:t>
      </w:r>
      <w:r w:rsidR="0049729F" w:rsidRPr="007F22F0">
        <w:rPr>
          <w:rFonts w:ascii="Arial" w:hAnsi="Arial" w:cs="Arial"/>
          <w:color w:val="auto"/>
          <w:szCs w:val="22"/>
        </w:rPr>
        <w:t>erformance feedback</w:t>
      </w:r>
    </w:p>
    <w:p w14:paraId="7D508086" w14:textId="77777777" w:rsidR="0049729F" w:rsidRPr="007F22F0" w:rsidRDefault="0049729F" w:rsidP="006D11A9">
      <w:pPr>
        <w:pStyle w:val="Bullets"/>
        <w:ind w:left="567" w:hanging="567"/>
        <w:rPr>
          <w:rFonts w:ascii="Arial" w:hAnsi="Arial" w:cs="Arial"/>
          <w:color w:val="auto"/>
          <w:szCs w:val="22"/>
        </w:rPr>
      </w:pPr>
      <w:r w:rsidRPr="007F22F0">
        <w:rPr>
          <w:rFonts w:ascii="Arial" w:hAnsi="Arial" w:cs="Arial"/>
          <w:color w:val="auto"/>
          <w:szCs w:val="22"/>
        </w:rPr>
        <w:t>Clinical decision-making support:</w:t>
      </w:r>
    </w:p>
    <w:p w14:paraId="145F8FCA" w14:textId="3604A2E9"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E</w:t>
      </w:r>
      <w:r w:rsidR="0049729F" w:rsidRPr="007F22F0">
        <w:rPr>
          <w:rFonts w:ascii="Arial" w:hAnsi="Arial" w:cs="Arial"/>
          <w:color w:val="auto"/>
          <w:szCs w:val="22"/>
        </w:rPr>
        <w:t>vidence-based guidelines</w:t>
      </w:r>
    </w:p>
    <w:p w14:paraId="311BFCA5" w14:textId="4472FC5E"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E</w:t>
      </w:r>
      <w:r w:rsidR="0049729F" w:rsidRPr="007F22F0">
        <w:rPr>
          <w:rFonts w:ascii="Arial" w:hAnsi="Arial" w:cs="Arial"/>
          <w:color w:val="auto"/>
          <w:szCs w:val="22"/>
        </w:rPr>
        <w:t>lectronic reminders in PMS</w:t>
      </w:r>
    </w:p>
    <w:p w14:paraId="19B80BA1" w14:textId="77777777" w:rsidR="0049729F" w:rsidRPr="007F22F0" w:rsidRDefault="0049729F" w:rsidP="006D11A9">
      <w:pPr>
        <w:pStyle w:val="Bullets"/>
        <w:ind w:left="567" w:hanging="567"/>
        <w:rPr>
          <w:rFonts w:ascii="Arial" w:hAnsi="Arial" w:cs="Arial"/>
          <w:color w:val="auto"/>
          <w:szCs w:val="22"/>
        </w:rPr>
      </w:pPr>
      <w:r w:rsidRPr="007F22F0">
        <w:rPr>
          <w:rFonts w:ascii="Arial" w:hAnsi="Arial" w:cs="Arial"/>
          <w:color w:val="auto"/>
          <w:szCs w:val="22"/>
        </w:rPr>
        <w:t>Coordinated care systems to support timely quality treatment:</w:t>
      </w:r>
    </w:p>
    <w:p w14:paraId="44A2D01E" w14:textId="19B82B5C"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A</w:t>
      </w:r>
      <w:r w:rsidR="0049729F" w:rsidRPr="007F22F0">
        <w:rPr>
          <w:rFonts w:ascii="Arial" w:hAnsi="Arial" w:cs="Arial"/>
          <w:color w:val="auto"/>
          <w:szCs w:val="22"/>
        </w:rPr>
        <w:t>ccessible by the whole of a care team across providers</w:t>
      </w:r>
    </w:p>
    <w:p w14:paraId="3516E451" w14:textId="24326E54"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S</w:t>
      </w:r>
      <w:r w:rsidR="0049729F" w:rsidRPr="007F22F0">
        <w:rPr>
          <w:rFonts w:ascii="Arial" w:hAnsi="Arial" w:cs="Arial"/>
          <w:color w:val="auto"/>
          <w:szCs w:val="22"/>
        </w:rPr>
        <w:t>haring of patient information across organisations</w:t>
      </w:r>
    </w:p>
    <w:p w14:paraId="4A41D3F6" w14:textId="77777777" w:rsidR="0049729F" w:rsidRPr="007F22F0" w:rsidRDefault="0049729F" w:rsidP="006D11A9">
      <w:pPr>
        <w:pStyle w:val="Bullets"/>
        <w:ind w:left="567" w:hanging="567"/>
        <w:rPr>
          <w:rFonts w:ascii="Arial" w:hAnsi="Arial" w:cs="Arial"/>
          <w:color w:val="auto"/>
          <w:szCs w:val="22"/>
        </w:rPr>
      </w:pPr>
      <w:r w:rsidRPr="007F22F0">
        <w:rPr>
          <w:rFonts w:ascii="Arial" w:hAnsi="Arial" w:cs="Arial"/>
          <w:color w:val="auto"/>
          <w:szCs w:val="22"/>
        </w:rPr>
        <w:t>Integrated systems capability:</w:t>
      </w:r>
    </w:p>
    <w:p w14:paraId="5A6D6AB8" w14:textId="6E14F8C9"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S</w:t>
      </w:r>
      <w:r w:rsidR="0049729F" w:rsidRPr="007F22F0">
        <w:rPr>
          <w:rFonts w:ascii="Arial" w:hAnsi="Arial" w:cs="Arial"/>
          <w:color w:val="auto"/>
          <w:szCs w:val="22"/>
        </w:rPr>
        <w:t>tandardised eReferral</w:t>
      </w:r>
    </w:p>
    <w:p w14:paraId="32A3F354" w14:textId="77777777" w:rsidR="0049729F" w:rsidRPr="007F22F0" w:rsidRDefault="0049729F" w:rsidP="006D11A9">
      <w:pPr>
        <w:pStyle w:val="Bullets"/>
        <w:numPr>
          <w:ilvl w:val="1"/>
          <w:numId w:val="10"/>
        </w:numPr>
        <w:tabs>
          <w:tab w:val="left" w:pos="1134"/>
        </w:tabs>
        <w:ind w:left="1080" w:hanging="513"/>
        <w:rPr>
          <w:rFonts w:ascii="Arial" w:hAnsi="Arial" w:cs="Arial"/>
          <w:color w:val="auto"/>
          <w:szCs w:val="22"/>
        </w:rPr>
      </w:pPr>
      <w:r w:rsidRPr="007F22F0">
        <w:rPr>
          <w:rFonts w:ascii="Arial" w:hAnsi="Arial" w:cs="Arial"/>
          <w:color w:val="auto"/>
          <w:szCs w:val="22"/>
        </w:rPr>
        <w:t>ePrescriptions, patient portals, shared care records</w:t>
      </w:r>
    </w:p>
    <w:p w14:paraId="56BAB93A" w14:textId="77777777" w:rsidR="0049729F" w:rsidRPr="007F22F0" w:rsidRDefault="0049729F" w:rsidP="006D11A9">
      <w:pPr>
        <w:pStyle w:val="Bullets"/>
        <w:numPr>
          <w:ilvl w:val="1"/>
          <w:numId w:val="10"/>
        </w:numPr>
        <w:tabs>
          <w:tab w:val="left" w:pos="1134"/>
        </w:tabs>
        <w:ind w:left="1080" w:hanging="513"/>
        <w:rPr>
          <w:rFonts w:ascii="Arial" w:hAnsi="Arial" w:cs="Arial"/>
          <w:color w:val="auto"/>
          <w:szCs w:val="22"/>
        </w:rPr>
      </w:pPr>
      <w:r w:rsidRPr="007F22F0">
        <w:rPr>
          <w:rFonts w:ascii="Arial" w:hAnsi="Arial" w:cs="Arial"/>
          <w:color w:val="auto"/>
          <w:szCs w:val="22"/>
        </w:rPr>
        <w:t>eAssessment processes and capability to access data across disciplines, institutions and providers</w:t>
      </w:r>
    </w:p>
    <w:p w14:paraId="5460CC7F" w14:textId="51475EB2"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S</w:t>
      </w:r>
      <w:r w:rsidR="0049729F" w:rsidRPr="007F22F0">
        <w:rPr>
          <w:rFonts w:ascii="Arial" w:hAnsi="Arial" w:cs="Arial"/>
          <w:color w:val="auto"/>
          <w:szCs w:val="22"/>
        </w:rPr>
        <w:t>upporting electronic transaction processing, and integrated funding arrangements</w:t>
      </w:r>
    </w:p>
    <w:p w14:paraId="20920998" w14:textId="7ADFB63F" w:rsidR="0049729F" w:rsidRPr="007F22F0" w:rsidRDefault="00B72210" w:rsidP="006D11A9">
      <w:pPr>
        <w:pStyle w:val="Bullets"/>
        <w:numPr>
          <w:ilvl w:val="1"/>
          <w:numId w:val="10"/>
        </w:numPr>
        <w:tabs>
          <w:tab w:val="left" w:pos="1134"/>
        </w:tabs>
        <w:ind w:left="1080" w:hanging="513"/>
        <w:rPr>
          <w:rFonts w:ascii="Arial" w:hAnsi="Arial" w:cs="Arial"/>
          <w:color w:val="auto"/>
          <w:szCs w:val="22"/>
        </w:rPr>
      </w:pPr>
      <w:r>
        <w:rPr>
          <w:rFonts w:ascii="Arial" w:hAnsi="Arial" w:cs="Arial"/>
          <w:color w:val="auto"/>
          <w:szCs w:val="22"/>
        </w:rPr>
        <w:t>T</w:t>
      </w:r>
      <w:r w:rsidR="0049729F" w:rsidRPr="007F22F0">
        <w:rPr>
          <w:rFonts w:ascii="Arial" w:hAnsi="Arial" w:cs="Arial"/>
          <w:color w:val="auto"/>
          <w:szCs w:val="22"/>
        </w:rPr>
        <w:t>ransfer of health records (GP2GP)</w:t>
      </w:r>
    </w:p>
    <w:p w14:paraId="1D86BD73" w14:textId="77777777" w:rsidR="0049729F" w:rsidRPr="007F22F0" w:rsidRDefault="0049729F" w:rsidP="00FA2790">
      <w:pPr>
        <w:pStyle w:val="Bullets"/>
        <w:spacing w:before="120"/>
        <w:ind w:left="461" w:hanging="274"/>
        <w:rPr>
          <w:rFonts w:ascii="Arial" w:hAnsi="Arial" w:cs="Arial"/>
          <w:color w:val="auto"/>
          <w:szCs w:val="22"/>
        </w:rPr>
      </w:pPr>
      <w:r w:rsidRPr="007F22F0">
        <w:rPr>
          <w:rFonts w:ascii="Arial" w:hAnsi="Arial" w:cs="Arial"/>
          <w:color w:val="auto"/>
          <w:szCs w:val="22"/>
        </w:rPr>
        <w:t>Feedback and reporting to ensure quality service provision and improved patient outcomes.</w:t>
      </w:r>
    </w:p>
    <w:p w14:paraId="43D5CA08" w14:textId="77777777" w:rsidR="0049729F" w:rsidRPr="0020734A" w:rsidRDefault="0049729F" w:rsidP="0049729F">
      <w:pPr>
        <w:spacing w:before="240" w:after="120"/>
        <w:rPr>
          <w:rFonts w:cs="Arial"/>
          <w:b/>
          <w:color w:val="auto"/>
          <w:sz w:val="22"/>
          <w:szCs w:val="22"/>
        </w:rPr>
      </w:pPr>
      <w:r w:rsidRPr="00356116">
        <w:rPr>
          <w:b/>
          <w:color w:val="auto"/>
          <w:sz w:val="22"/>
          <w:szCs w:val="22"/>
        </w:rPr>
        <w:lastRenderedPageBreak/>
        <w:t>Resources</w:t>
      </w:r>
    </w:p>
    <w:p w14:paraId="5528DA20" w14:textId="2C5B3A16" w:rsidR="0049729F" w:rsidRPr="0024030C" w:rsidRDefault="00CF1416" w:rsidP="0024030C">
      <w:pPr>
        <w:pStyle w:val="Resourcelist"/>
        <w:spacing w:after="120"/>
        <w:rPr>
          <w:rStyle w:val="Hyperlink"/>
          <w:color w:val="0000FF"/>
        </w:rPr>
      </w:pPr>
      <w:hyperlink r:id="rId108" w:history="1">
        <w:r w:rsidR="0049729F" w:rsidRPr="0024030C">
          <w:rPr>
            <w:rStyle w:val="Hyperlink"/>
            <w:rFonts w:ascii="Arial" w:hAnsi="Arial" w:cs="Arial"/>
            <w:color w:val="0000FF"/>
          </w:rPr>
          <w:t>MCNZ: The maintenance and retention of patient records</w:t>
        </w:r>
      </w:hyperlink>
    </w:p>
    <w:p w14:paraId="554BE8AE" w14:textId="77777777" w:rsidR="00DE3B66" w:rsidRDefault="00DE3B66" w:rsidP="00BB58D0">
      <w:pPr>
        <w:pStyle w:val="Heading1"/>
      </w:pPr>
    </w:p>
    <w:p w14:paraId="5AB50038" w14:textId="521A5B69" w:rsidR="00B31578" w:rsidRDefault="00B31578">
      <w:pPr>
        <w:spacing w:after="0"/>
        <w:rPr>
          <w:b/>
          <w:color w:val="EE7624"/>
          <w:sz w:val="56"/>
          <w:szCs w:val="56"/>
        </w:rPr>
      </w:pPr>
      <w:r>
        <w:br w:type="page"/>
      </w:r>
    </w:p>
    <w:p w14:paraId="5831BCE2" w14:textId="07281FF8" w:rsidR="00DE3B66" w:rsidRDefault="00DE3B66" w:rsidP="00BB58D0">
      <w:pPr>
        <w:pStyle w:val="Heading1"/>
      </w:pPr>
    </w:p>
    <w:p w14:paraId="295F15DB" w14:textId="77777777" w:rsidR="00B31578" w:rsidRPr="00B31578" w:rsidRDefault="00B31578" w:rsidP="00B31578"/>
    <w:p w14:paraId="7615F4F6" w14:textId="77777777" w:rsidR="00DE3B66" w:rsidRDefault="00DE3B66" w:rsidP="00BB58D0">
      <w:pPr>
        <w:pStyle w:val="Heading1"/>
      </w:pPr>
    </w:p>
    <w:p w14:paraId="5B35125F" w14:textId="77777777" w:rsidR="00DE3B66" w:rsidRDefault="00DE3B66" w:rsidP="00BB58D0">
      <w:pPr>
        <w:pStyle w:val="Heading1"/>
      </w:pPr>
    </w:p>
    <w:p w14:paraId="33FEF94A" w14:textId="77777777" w:rsidR="00DE3B66" w:rsidRDefault="00DE3B66" w:rsidP="00BB58D0">
      <w:pPr>
        <w:pStyle w:val="Heading1"/>
      </w:pPr>
    </w:p>
    <w:p w14:paraId="5581BE68" w14:textId="77777777" w:rsidR="00DE3B66" w:rsidRDefault="00DE3B66" w:rsidP="00BB58D0">
      <w:pPr>
        <w:pStyle w:val="Heading1"/>
      </w:pPr>
    </w:p>
    <w:p w14:paraId="5EF11A13" w14:textId="77777777" w:rsidR="00DE3B66" w:rsidRDefault="00DE3B66" w:rsidP="00BB58D0">
      <w:pPr>
        <w:pStyle w:val="Heading1"/>
      </w:pPr>
    </w:p>
    <w:p w14:paraId="369D1520" w14:textId="77777777" w:rsidR="00DE3B66" w:rsidRDefault="00DE3B66" w:rsidP="00BB58D0">
      <w:pPr>
        <w:pStyle w:val="Heading1"/>
      </w:pPr>
    </w:p>
    <w:p w14:paraId="14159252" w14:textId="77777777" w:rsidR="00DE3B66" w:rsidRDefault="00DE3B66" w:rsidP="00BB58D0">
      <w:pPr>
        <w:pStyle w:val="Heading1"/>
      </w:pPr>
    </w:p>
    <w:p w14:paraId="4786D7FB" w14:textId="77777777" w:rsidR="00DE3B66" w:rsidRDefault="00DE3B66" w:rsidP="00BB58D0">
      <w:pPr>
        <w:pStyle w:val="Heading1"/>
      </w:pPr>
    </w:p>
    <w:p w14:paraId="177BCF4E" w14:textId="77777777" w:rsidR="00DE3B66" w:rsidRDefault="00DE3B66" w:rsidP="00BB58D0">
      <w:pPr>
        <w:pStyle w:val="Heading1"/>
      </w:pPr>
    </w:p>
    <w:p w14:paraId="1B2736C2" w14:textId="1B188A3C" w:rsidR="00BB58D0" w:rsidRDefault="00BB58D0" w:rsidP="00BB58D0">
      <w:pPr>
        <w:pStyle w:val="Heading1"/>
        <w:rPr>
          <w:b w:val="0"/>
        </w:rPr>
      </w:pPr>
      <w:bookmarkStart w:id="50" w:name="_Toc6998671"/>
      <w:r w:rsidRPr="000C6773">
        <w:t>Section</w:t>
      </w:r>
      <w:r w:rsidRPr="0055408F">
        <w:t xml:space="preserve"> </w:t>
      </w:r>
      <w:r>
        <w:t xml:space="preserve">7: </w:t>
      </w:r>
      <w:r w:rsidR="000748F9">
        <w:t>Manaaki haumanu</w:t>
      </w:r>
      <w:r w:rsidRPr="0055408F">
        <w:rPr>
          <w:b w:val="0"/>
        </w:rPr>
        <w:t xml:space="preserve"> | </w:t>
      </w:r>
      <w:r w:rsidR="000748F9">
        <w:rPr>
          <w:b w:val="0"/>
        </w:rPr>
        <w:t>Clinical care</w:t>
      </w:r>
      <w:bookmarkEnd w:id="50"/>
    </w:p>
    <w:p w14:paraId="5ADFF28B" w14:textId="77777777" w:rsidR="00AA0501" w:rsidRDefault="00AA0501">
      <w:pPr>
        <w:spacing w:after="0"/>
        <w:rPr>
          <w:b/>
          <w:color w:val="EE7624"/>
          <w:sz w:val="28"/>
        </w:rPr>
      </w:pPr>
      <w:r>
        <w:rPr>
          <w:b/>
          <w:color w:val="EE7624"/>
          <w:sz w:val="28"/>
        </w:rPr>
        <w:br w:type="page"/>
      </w:r>
    </w:p>
    <w:p w14:paraId="6DFB5A47" w14:textId="64DC98CB" w:rsidR="00315260" w:rsidRPr="00C55F31" w:rsidRDefault="00315260" w:rsidP="006D11A9">
      <w:pPr>
        <w:pStyle w:val="HHLSubHeading"/>
        <w:numPr>
          <w:ilvl w:val="0"/>
          <w:numId w:val="0"/>
        </w:numPr>
        <w:tabs>
          <w:tab w:val="left" w:pos="1560"/>
        </w:tabs>
      </w:pPr>
      <w:bookmarkStart w:id="51" w:name="_Toc6998672"/>
      <w:r w:rsidRPr="00C55F31">
        <w:lastRenderedPageBreak/>
        <w:t>Indicator 1</w:t>
      </w:r>
      <w:r w:rsidR="007571E6">
        <w:t>3</w:t>
      </w:r>
      <w:r w:rsidRPr="00C55F31">
        <w:t>.</w:t>
      </w:r>
      <w:r w:rsidR="006D11A9">
        <w:tab/>
      </w:r>
      <w:r>
        <w:t>Management of clinical</w:t>
      </w:r>
      <w:r w:rsidR="00E55D28">
        <w:t xml:space="preserve"> correspondence</w:t>
      </w:r>
      <w:bookmarkEnd w:id="51"/>
      <w:r>
        <w:t xml:space="preserve"> </w:t>
      </w:r>
    </w:p>
    <w:p w14:paraId="5EC3529F" w14:textId="077D4385" w:rsidR="00315260" w:rsidRPr="00003135" w:rsidRDefault="00315260" w:rsidP="00315260">
      <w:pPr>
        <w:pStyle w:val="HHLBodyText"/>
        <w:rPr>
          <w:b/>
        </w:rPr>
      </w:pPr>
      <w:r w:rsidRPr="00003135">
        <w:rPr>
          <w:b/>
        </w:rPr>
        <w:t xml:space="preserve">Our practice </w:t>
      </w:r>
      <w:r>
        <w:rPr>
          <w:b/>
        </w:rPr>
        <w:t xml:space="preserve">has an effective system for the management of clinical </w:t>
      </w:r>
      <w:r w:rsidR="002D3694">
        <w:rPr>
          <w:b/>
        </w:rPr>
        <w:t>correspondence</w:t>
      </w:r>
      <w:r w:rsidRPr="00003135">
        <w:rPr>
          <w:b/>
        </w:rPr>
        <w:t>.</w:t>
      </w:r>
    </w:p>
    <w:tbl>
      <w:tblPr>
        <w:tblStyle w:val="TableGrid1"/>
        <w:tblW w:w="0" w:type="auto"/>
        <w:tblLook w:val="04A0" w:firstRow="1" w:lastRow="0" w:firstColumn="1" w:lastColumn="0" w:noHBand="0" w:noVBand="1"/>
      </w:tblPr>
      <w:tblGrid>
        <w:gridCol w:w="1152"/>
        <w:gridCol w:w="4539"/>
        <w:gridCol w:w="4051"/>
      </w:tblGrid>
      <w:tr w:rsidR="00315260" w:rsidRPr="00A81435" w14:paraId="1919E1AF" w14:textId="77777777" w:rsidTr="003D2A73">
        <w:tc>
          <w:tcPr>
            <w:tcW w:w="1153" w:type="dxa"/>
            <w:shd w:val="clear" w:color="auto" w:fill="FBD4B4" w:themeFill="accent6" w:themeFillTint="66"/>
          </w:tcPr>
          <w:p w14:paraId="06458F48" w14:textId="77777777" w:rsidR="00315260" w:rsidRPr="00A81435" w:rsidRDefault="00315260" w:rsidP="00B42877">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359677C0" w14:textId="77777777" w:rsidR="00315260" w:rsidRPr="00A81435" w:rsidRDefault="00315260" w:rsidP="00B42877">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687CDC3C" w14:textId="5EB94C59" w:rsidR="00315260" w:rsidRPr="00A81435" w:rsidRDefault="00315260" w:rsidP="00B42877">
            <w:pPr>
              <w:spacing w:before="120" w:after="120"/>
              <w:rPr>
                <w:b/>
                <w:color w:val="auto"/>
                <w:sz w:val="22"/>
                <w:szCs w:val="22"/>
              </w:rPr>
            </w:pPr>
            <w:r w:rsidRPr="00A81435">
              <w:rPr>
                <w:b/>
                <w:color w:val="auto"/>
                <w:sz w:val="22"/>
                <w:szCs w:val="22"/>
              </w:rPr>
              <w:t>Required evidence</w:t>
            </w:r>
          </w:p>
        </w:tc>
      </w:tr>
      <w:tr w:rsidR="00315260" w:rsidRPr="00A81435" w14:paraId="6BE4F6D0" w14:textId="77777777" w:rsidTr="003D2A73">
        <w:tc>
          <w:tcPr>
            <w:tcW w:w="1153" w:type="dxa"/>
          </w:tcPr>
          <w:p w14:paraId="10F3C208" w14:textId="043452FB" w:rsidR="00315260" w:rsidRPr="00A81435" w:rsidRDefault="00315260" w:rsidP="00B42877">
            <w:pPr>
              <w:spacing w:before="60"/>
              <w:rPr>
                <w:color w:val="auto"/>
                <w:sz w:val="22"/>
                <w:szCs w:val="22"/>
              </w:rPr>
            </w:pPr>
            <w:r w:rsidRPr="00A81435">
              <w:rPr>
                <w:color w:val="auto"/>
                <w:sz w:val="22"/>
                <w:szCs w:val="22"/>
              </w:rPr>
              <w:t>1</w:t>
            </w:r>
            <w:r w:rsidR="007571E6">
              <w:rPr>
                <w:color w:val="auto"/>
                <w:sz w:val="22"/>
                <w:szCs w:val="22"/>
              </w:rPr>
              <w:t>3</w:t>
            </w:r>
            <w:r w:rsidRPr="00A81435">
              <w:rPr>
                <w:color w:val="auto"/>
                <w:sz w:val="22"/>
                <w:szCs w:val="22"/>
              </w:rPr>
              <w:t>.1</w:t>
            </w:r>
          </w:p>
        </w:tc>
        <w:tc>
          <w:tcPr>
            <w:tcW w:w="4568" w:type="dxa"/>
          </w:tcPr>
          <w:p w14:paraId="72675D02" w14:textId="27326175" w:rsidR="00315260" w:rsidRPr="001E7AEF" w:rsidRDefault="002A400F" w:rsidP="00735ABB">
            <w:pPr>
              <w:spacing w:before="60"/>
              <w:rPr>
                <w:rFonts w:cs="Arial"/>
                <w:color w:val="auto"/>
                <w:sz w:val="22"/>
                <w:szCs w:val="22"/>
              </w:rPr>
            </w:pPr>
            <w:r w:rsidRPr="001E7AEF">
              <w:rPr>
                <w:rFonts w:cs="Arial"/>
                <w:color w:val="auto"/>
                <w:sz w:val="22"/>
                <w:szCs w:val="22"/>
              </w:rPr>
              <w:t>Have a</w:t>
            </w:r>
            <w:r w:rsidR="00C92606">
              <w:rPr>
                <w:rFonts w:cs="Arial"/>
                <w:color w:val="auto"/>
                <w:sz w:val="22"/>
                <w:szCs w:val="22"/>
              </w:rPr>
              <w:t>n effective system for managing</w:t>
            </w:r>
            <w:r w:rsidRPr="001E7AEF">
              <w:rPr>
                <w:rFonts w:cs="Arial"/>
                <w:color w:val="auto"/>
                <w:sz w:val="22"/>
                <w:szCs w:val="22"/>
              </w:rPr>
              <w:t xml:space="preserve"> internal and </w:t>
            </w:r>
            <w:r w:rsidR="002D3694" w:rsidRPr="001E7AEF">
              <w:rPr>
                <w:rFonts w:cs="Arial"/>
                <w:color w:val="auto"/>
                <w:sz w:val="22"/>
                <w:szCs w:val="22"/>
              </w:rPr>
              <w:t>external</w:t>
            </w:r>
            <w:r w:rsidRPr="001E7AEF">
              <w:rPr>
                <w:rFonts w:cs="Arial"/>
                <w:color w:val="auto"/>
                <w:sz w:val="22"/>
                <w:szCs w:val="22"/>
              </w:rPr>
              <w:t xml:space="preserve"> clinical </w:t>
            </w:r>
            <w:r w:rsidR="002D3694" w:rsidRPr="001E7AEF">
              <w:rPr>
                <w:rFonts w:cs="Arial"/>
                <w:color w:val="auto"/>
                <w:sz w:val="22"/>
                <w:szCs w:val="22"/>
              </w:rPr>
              <w:t>correspondence</w:t>
            </w:r>
            <w:r w:rsidR="00236854">
              <w:rPr>
                <w:rFonts w:cs="Arial"/>
                <w:color w:val="auto"/>
                <w:sz w:val="22"/>
                <w:szCs w:val="22"/>
              </w:rPr>
              <w:t>.</w:t>
            </w:r>
            <w:r w:rsidRPr="001E7AEF">
              <w:rPr>
                <w:rFonts w:cs="Arial"/>
                <w:color w:val="auto"/>
                <w:sz w:val="22"/>
                <w:szCs w:val="22"/>
              </w:rPr>
              <w:t xml:space="preserve"> </w:t>
            </w:r>
          </w:p>
        </w:tc>
        <w:tc>
          <w:tcPr>
            <w:tcW w:w="4075" w:type="dxa"/>
          </w:tcPr>
          <w:p w14:paraId="02680719" w14:textId="0329EA7D" w:rsidR="00315260" w:rsidRPr="001345F2" w:rsidRDefault="000C07F9" w:rsidP="001345F2">
            <w:pPr>
              <w:spacing w:before="60"/>
              <w:rPr>
                <w:color w:val="auto"/>
                <w:sz w:val="22"/>
                <w:szCs w:val="22"/>
              </w:rPr>
            </w:pPr>
            <w:r w:rsidRPr="001345F2">
              <w:rPr>
                <w:color w:val="auto"/>
                <w:sz w:val="22"/>
                <w:szCs w:val="22"/>
              </w:rPr>
              <w:t>A documented p</w:t>
            </w:r>
            <w:r w:rsidRPr="001345F2">
              <w:rPr>
                <w:rFonts w:hint="eastAsia"/>
                <w:color w:val="auto"/>
                <w:sz w:val="22"/>
                <w:szCs w:val="22"/>
              </w:rPr>
              <w:t xml:space="preserve">olicy </w:t>
            </w:r>
            <w:r w:rsidRPr="001345F2">
              <w:rPr>
                <w:color w:val="auto"/>
                <w:sz w:val="22"/>
                <w:szCs w:val="22"/>
              </w:rPr>
              <w:t xml:space="preserve">and procedure </w:t>
            </w:r>
            <w:r w:rsidRPr="001345F2">
              <w:rPr>
                <w:rFonts w:hint="eastAsia"/>
                <w:color w:val="auto"/>
                <w:sz w:val="22"/>
                <w:szCs w:val="22"/>
              </w:rPr>
              <w:t>on to how to manage and track</w:t>
            </w:r>
            <w:r w:rsidR="00236854" w:rsidRPr="001345F2">
              <w:rPr>
                <w:color w:val="auto"/>
                <w:sz w:val="22"/>
                <w:szCs w:val="22"/>
              </w:rPr>
              <w:t xml:space="preserve">, </w:t>
            </w:r>
            <w:r w:rsidRPr="001345F2">
              <w:rPr>
                <w:rFonts w:hint="eastAsia"/>
                <w:color w:val="auto"/>
                <w:sz w:val="22"/>
                <w:szCs w:val="22"/>
              </w:rPr>
              <w:t>laboratory results, imaging reports, investigations and clinical correspondence</w:t>
            </w:r>
            <w:r w:rsidRPr="001345F2">
              <w:rPr>
                <w:color w:val="auto"/>
                <w:sz w:val="22"/>
                <w:szCs w:val="22"/>
              </w:rPr>
              <w:t>.</w:t>
            </w:r>
            <w:r w:rsidR="00C92606" w:rsidRPr="001345F2">
              <w:rPr>
                <w:color w:val="auto"/>
                <w:sz w:val="22"/>
                <w:szCs w:val="22"/>
              </w:rPr>
              <w:t xml:space="preserve"> </w:t>
            </w:r>
          </w:p>
        </w:tc>
      </w:tr>
      <w:tr w:rsidR="000C07F9" w:rsidRPr="00A81435" w14:paraId="11D78890" w14:textId="77777777" w:rsidTr="003D2A73">
        <w:tc>
          <w:tcPr>
            <w:tcW w:w="1153" w:type="dxa"/>
          </w:tcPr>
          <w:p w14:paraId="49DD7443" w14:textId="1175655A" w:rsidR="000C07F9" w:rsidRPr="00B21354" w:rsidRDefault="000C07F9" w:rsidP="00B42877">
            <w:pPr>
              <w:spacing w:before="60"/>
              <w:rPr>
                <w:color w:val="auto"/>
                <w:sz w:val="22"/>
                <w:szCs w:val="22"/>
              </w:rPr>
            </w:pPr>
            <w:r w:rsidRPr="00B21354">
              <w:rPr>
                <w:color w:val="auto"/>
                <w:sz w:val="22"/>
                <w:szCs w:val="22"/>
              </w:rPr>
              <w:t>1</w:t>
            </w:r>
            <w:r>
              <w:rPr>
                <w:color w:val="auto"/>
                <w:sz w:val="22"/>
                <w:szCs w:val="22"/>
              </w:rPr>
              <w:t>3</w:t>
            </w:r>
            <w:r w:rsidRPr="00B21354">
              <w:rPr>
                <w:color w:val="auto"/>
                <w:sz w:val="22"/>
                <w:szCs w:val="22"/>
              </w:rPr>
              <w:t>.2</w:t>
            </w:r>
          </w:p>
        </w:tc>
        <w:tc>
          <w:tcPr>
            <w:tcW w:w="4568" w:type="dxa"/>
          </w:tcPr>
          <w:p w14:paraId="4FC21212" w14:textId="3999EB46" w:rsidR="000C07F9" w:rsidRPr="001E7AEF" w:rsidRDefault="000C07F9" w:rsidP="00B42877">
            <w:pPr>
              <w:spacing w:before="60"/>
              <w:rPr>
                <w:rFonts w:cs="Arial"/>
                <w:color w:val="auto"/>
                <w:sz w:val="22"/>
                <w:szCs w:val="22"/>
              </w:rPr>
            </w:pPr>
            <w:r w:rsidRPr="001E7AEF">
              <w:rPr>
                <w:rFonts w:cs="Arial"/>
                <w:color w:val="auto"/>
                <w:sz w:val="22"/>
                <w:szCs w:val="22"/>
              </w:rPr>
              <w:t xml:space="preserve">Ensure newly enrolled patient records are reviewed by a clinician. </w:t>
            </w:r>
          </w:p>
        </w:tc>
        <w:tc>
          <w:tcPr>
            <w:tcW w:w="4075" w:type="dxa"/>
            <w:vAlign w:val="center"/>
          </w:tcPr>
          <w:p w14:paraId="633C0D4F" w14:textId="7A155E13" w:rsidR="000C07F9" w:rsidRPr="001345F2" w:rsidRDefault="00F6161A" w:rsidP="001345F2">
            <w:pPr>
              <w:spacing w:before="120" w:line="257" w:lineRule="auto"/>
              <w:rPr>
                <w:color w:val="auto"/>
                <w:sz w:val="22"/>
                <w:szCs w:val="22"/>
              </w:rPr>
            </w:pPr>
            <w:r w:rsidRPr="001345F2">
              <w:rPr>
                <w:color w:val="auto"/>
                <w:sz w:val="22"/>
                <w:szCs w:val="22"/>
              </w:rPr>
              <w:t>A documented policy and procedure</w:t>
            </w:r>
            <w:r w:rsidRPr="001345F2">
              <w:rPr>
                <w:color w:val="auto"/>
                <w:sz w:val="22"/>
                <w:szCs w:val="22"/>
                <w:lang w:val="en-NZ"/>
              </w:rPr>
              <w:t xml:space="preserve"> on </w:t>
            </w:r>
            <w:r w:rsidR="00837E7F" w:rsidRPr="001345F2">
              <w:rPr>
                <w:color w:val="auto"/>
                <w:sz w:val="22"/>
                <w:szCs w:val="22"/>
                <w:lang w:val="en-NZ"/>
              </w:rPr>
              <w:t xml:space="preserve">the </w:t>
            </w:r>
            <w:r w:rsidRPr="001345F2">
              <w:rPr>
                <w:color w:val="auto"/>
                <w:sz w:val="22"/>
                <w:szCs w:val="22"/>
                <w:lang w:val="en-NZ"/>
              </w:rPr>
              <w:t xml:space="preserve">handling of newly received patient records. </w:t>
            </w:r>
          </w:p>
        </w:tc>
      </w:tr>
      <w:tr w:rsidR="009244A8" w:rsidRPr="00A81435" w14:paraId="1B46FF83" w14:textId="77777777" w:rsidTr="003D2A73">
        <w:tc>
          <w:tcPr>
            <w:tcW w:w="1153" w:type="dxa"/>
          </w:tcPr>
          <w:p w14:paraId="528ECFCC" w14:textId="1403B4AF" w:rsidR="009244A8" w:rsidRPr="00B21354" w:rsidRDefault="009244A8" w:rsidP="00B42877">
            <w:pPr>
              <w:spacing w:before="60"/>
              <w:rPr>
                <w:color w:val="auto"/>
                <w:sz w:val="22"/>
                <w:szCs w:val="22"/>
              </w:rPr>
            </w:pPr>
            <w:r>
              <w:rPr>
                <w:color w:val="auto"/>
                <w:sz w:val="22"/>
                <w:szCs w:val="22"/>
              </w:rPr>
              <w:t>13.3</w:t>
            </w:r>
          </w:p>
        </w:tc>
        <w:tc>
          <w:tcPr>
            <w:tcW w:w="4568" w:type="dxa"/>
          </w:tcPr>
          <w:p w14:paraId="0E550A8E" w14:textId="77777777" w:rsidR="001345F2" w:rsidRDefault="009244A8" w:rsidP="00B42877">
            <w:pPr>
              <w:spacing w:before="60"/>
              <w:rPr>
                <w:rFonts w:cs="Arial"/>
                <w:color w:val="auto"/>
                <w:sz w:val="22"/>
                <w:szCs w:val="22"/>
              </w:rPr>
            </w:pPr>
            <w:r w:rsidRPr="001E7AEF">
              <w:rPr>
                <w:rFonts w:cs="Arial"/>
                <w:color w:val="auto"/>
                <w:sz w:val="22"/>
                <w:szCs w:val="22"/>
              </w:rPr>
              <w:t xml:space="preserve">Ensure all incoming investigation results are sighted and actioned by the clinician who requested them, or by a designated clinician. </w:t>
            </w:r>
          </w:p>
          <w:p w14:paraId="4BC69D00" w14:textId="77A6BFF6" w:rsidR="009244A8" w:rsidRPr="001E7AEF" w:rsidRDefault="009244A8" w:rsidP="00B42877">
            <w:pPr>
              <w:spacing w:before="60"/>
              <w:rPr>
                <w:rFonts w:cs="Arial"/>
                <w:color w:val="auto"/>
                <w:sz w:val="22"/>
                <w:szCs w:val="22"/>
              </w:rPr>
            </w:pPr>
            <w:r w:rsidRPr="001E7AEF">
              <w:rPr>
                <w:rFonts w:cs="Arial"/>
                <w:color w:val="auto"/>
                <w:sz w:val="22"/>
                <w:szCs w:val="22"/>
              </w:rPr>
              <w:t xml:space="preserve">Significant results are </w:t>
            </w:r>
            <w:r w:rsidR="001345F2" w:rsidRPr="001E7AEF">
              <w:rPr>
                <w:rFonts w:cs="Arial"/>
                <w:color w:val="auto"/>
                <w:sz w:val="22"/>
                <w:szCs w:val="22"/>
              </w:rPr>
              <w:t>prioritized</w:t>
            </w:r>
            <w:r w:rsidRPr="001E7AEF">
              <w:rPr>
                <w:rFonts w:cs="Arial"/>
                <w:color w:val="auto"/>
                <w:sz w:val="22"/>
                <w:szCs w:val="22"/>
              </w:rPr>
              <w:t xml:space="preserve"> and actioned.</w:t>
            </w:r>
          </w:p>
        </w:tc>
        <w:tc>
          <w:tcPr>
            <w:tcW w:w="4075" w:type="dxa"/>
            <w:vMerge w:val="restart"/>
          </w:tcPr>
          <w:p w14:paraId="3B9F3449" w14:textId="5FC44FE6" w:rsidR="003D2A73" w:rsidRPr="001345F2" w:rsidRDefault="00535059" w:rsidP="001345F2">
            <w:pPr>
              <w:spacing w:before="120" w:line="257" w:lineRule="auto"/>
              <w:rPr>
                <w:color w:val="auto"/>
                <w:sz w:val="22"/>
                <w:szCs w:val="22"/>
              </w:rPr>
            </w:pPr>
            <w:r w:rsidRPr="001345F2">
              <w:rPr>
                <w:color w:val="auto"/>
                <w:sz w:val="22"/>
                <w:szCs w:val="22"/>
              </w:rPr>
              <w:t>C</w:t>
            </w:r>
            <w:r w:rsidR="003D2A73" w:rsidRPr="001345F2">
              <w:rPr>
                <w:color w:val="auto"/>
                <w:sz w:val="22"/>
                <w:szCs w:val="22"/>
              </w:rPr>
              <w:t xml:space="preserve">linical notes review </w:t>
            </w:r>
            <w:r w:rsidRPr="001345F2">
              <w:rPr>
                <w:color w:val="auto"/>
                <w:sz w:val="22"/>
                <w:szCs w:val="22"/>
              </w:rPr>
              <w:t xml:space="preserve">of </w:t>
            </w:r>
            <w:r w:rsidR="003D2A73" w:rsidRPr="001345F2">
              <w:rPr>
                <w:color w:val="auto"/>
                <w:sz w:val="22"/>
                <w:szCs w:val="22"/>
              </w:rPr>
              <w:t>10 patient records in the 12 months prior to an onsite assessment is completed by all clinicians</w:t>
            </w:r>
          </w:p>
          <w:p w14:paraId="1D81E550" w14:textId="0167E246" w:rsidR="003D2A73" w:rsidRPr="001345F2" w:rsidRDefault="003D2A73" w:rsidP="001345F2">
            <w:pPr>
              <w:spacing w:before="120" w:line="257" w:lineRule="auto"/>
              <w:rPr>
                <w:color w:val="auto"/>
                <w:sz w:val="22"/>
                <w:szCs w:val="22"/>
              </w:rPr>
            </w:pPr>
          </w:p>
        </w:tc>
      </w:tr>
      <w:tr w:rsidR="009244A8" w:rsidRPr="00A81435" w14:paraId="1DD874F8" w14:textId="77777777" w:rsidTr="003D2A73">
        <w:tc>
          <w:tcPr>
            <w:tcW w:w="1153" w:type="dxa"/>
          </w:tcPr>
          <w:p w14:paraId="2B8179F6" w14:textId="7E808DA4" w:rsidR="009244A8" w:rsidRPr="00B21354" w:rsidRDefault="009244A8" w:rsidP="00B42877">
            <w:pPr>
              <w:spacing w:before="60"/>
              <w:rPr>
                <w:color w:val="auto"/>
                <w:sz w:val="22"/>
                <w:szCs w:val="22"/>
              </w:rPr>
            </w:pPr>
            <w:r>
              <w:rPr>
                <w:color w:val="auto"/>
                <w:sz w:val="22"/>
                <w:szCs w:val="22"/>
              </w:rPr>
              <w:t>13.4</w:t>
            </w:r>
          </w:p>
        </w:tc>
        <w:tc>
          <w:tcPr>
            <w:tcW w:w="4568" w:type="dxa"/>
          </w:tcPr>
          <w:p w14:paraId="2130A457" w14:textId="1FBEA269" w:rsidR="009244A8" w:rsidRPr="001E7AEF" w:rsidRDefault="009244A8" w:rsidP="00B42877">
            <w:pPr>
              <w:spacing w:before="60"/>
              <w:rPr>
                <w:rFonts w:cs="Arial"/>
                <w:color w:val="auto"/>
                <w:sz w:val="22"/>
                <w:szCs w:val="22"/>
              </w:rPr>
            </w:pPr>
            <w:r w:rsidRPr="001E7AEF">
              <w:rPr>
                <w:rFonts w:cs="Arial"/>
                <w:color w:val="auto"/>
                <w:sz w:val="22"/>
                <w:szCs w:val="22"/>
              </w:rPr>
              <w:t>Identify and track potentially significant investigations and urgent referrals</w:t>
            </w:r>
            <w:r>
              <w:rPr>
                <w:rFonts w:cs="Arial"/>
                <w:color w:val="auto"/>
                <w:sz w:val="22"/>
                <w:szCs w:val="22"/>
              </w:rPr>
              <w:t>.</w:t>
            </w:r>
          </w:p>
        </w:tc>
        <w:tc>
          <w:tcPr>
            <w:tcW w:w="4075" w:type="dxa"/>
            <w:vMerge/>
          </w:tcPr>
          <w:p w14:paraId="621D6C81" w14:textId="7455D515" w:rsidR="009244A8" w:rsidRPr="001345F2" w:rsidRDefault="009244A8" w:rsidP="001345F2">
            <w:pPr>
              <w:spacing w:before="60"/>
              <w:rPr>
                <w:color w:val="auto"/>
                <w:sz w:val="22"/>
                <w:szCs w:val="22"/>
              </w:rPr>
            </w:pPr>
          </w:p>
        </w:tc>
      </w:tr>
      <w:tr w:rsidR="000C07F9" w:rsidRPr="00A81435" w14:paraId="6F0204A2" w14:textId="77777777" w:rsidTr="003D2A73">
        <w:tc>
          <w:tcPr>
            <w:tcW w:w="1153" w:type="dxa"/>
          </w:tcPr>
          <w:p w14:paraId="2D851934" w14:textId="78F2EEAD" w:rsidR="000C07F9" w:rsidRPr="00B21354" w:rsidRDefault="000C07F9" w:rsidP="00B42877">
            <w:pPr>
              <w:spacing w:before="60"/>
              <w:rPr>
                <w:color w:val="auto"/>
                <w:sz w:val="22"/>
                <w:szCs w:val="22"/>
              </w:rPr>
            </w:pPr>
            <w:r>
              <w:rPr>
                <w:color w:val="auto"/>
                <w:sz w:val="22"/>
                <w:szCs w:val="22"/>
              </w:rPr>
              <w:t>13.5</w:t>
            </w:r>
          </w:p>
        </w:tc>
        <w:tc>
          <w:tcPr>
            <w:tcW w:w="4568" w:type="dxa"/>
          </w:tcPr>
          <w:p w14:paraId="6624BBD3" w14:textId="38144996" w:rsidR="000C07F9" w:rsidRPr="001E7AEF" w:rsidRDefault="000C07F9" w:rsidP="00B42877">
            <w:pPr>
              <w:spacing w:before="60"/>
              <w:rPr>
                <w:rFonts w:cs="Arial"/>
                <w:color w:val="auto"/>
                <w:sz w:val="22"/>
                <w:szCs w:val="22"/>
              </w:rPr>
            </w:pPr>
            <w:r w:rsidRPr="001E7AEF">
              <w:rPr>
                <w:rFonts w:cs="Arial"/>
                <w:color w:val="auto"/>
                <w:sz w:val="22"/>
                <w:szCs w:val="22"/>
              </w:rPr>
              <w:t>Provide patients with information about your practice procedures for notification of test results</w:t>
            </w:r>
            <w:r w:rsidR="00971A5A">
              <w:rPr>
                <w:rFonts w:cs="Arial"/>
                <w:color w:val="auto"/>
                <w:sz w:val="22"/>
                <w:szCs w:val="22"/>
              </w:rPr>
              <w:t>.</w:t>
            </w:r>
          </w:p>
        </w:tc>
        <w:tc>
          <w:tcPr>
            <w:tcW w:w="4075" w:type="dxa"/>
          </w:tcPr>
          <w:p w14:paraId="2A4688FC" w14:textId="2E2A22C8" w:rsidR="000C07F9" w:rsidRPr="001345F2" w:rsidRDefault="00621AEE" w:rsidP="001345F2">
            <w:pPr>
              <w:spacing w:before="60"/>
              <w:rPr>
                <w:color w:val="auto"/>
                <w:sz w:val="22"/>
                <w:szCs w:val="22"/>
              </w:rPr>
            </w:pPr>
            <w:r w:rsidRPr="001345F2">
              <w:rPr>
                <w:color w:val="auto"/>
                <w:sz w:val="22"/>
                <w:szCs w:val="22"/>
              </w:rPr>
              <w:t xml:space="preserve">Patient information </w:t>
            </w:r>
            <w:r w:rsidR="00C92D22" w:rsidRPr="001345F2">
              <w:rPr>
                <w:color w:val="auto"/>
                <w:sz w:val="22"/>
                <w:szCs w:val="22"/>
              </w:rPr>
              <w:t xml:space="preserve">e.g. provided: </w:t>
            </w:r>
            <w:r w:rsidRPr="001345F2">
              <w:rPr>
                <w:color w:val="auto"/>
                <w:sz w:val="22"/>
                <w:szCs w:val="22"/>
              </w:rPr>
              <w:t>verbal</w:t>
            </w:r>
            <w:r w:rsidR="00C92D22" w:rsidRPr="001345F2">
              <w:rPr>
                <w:color w:val="auto"/>
                <w:sz w:val="22"/>
                <w:szCs w:val="22"/>
              </w:rPr>
              <w:t xml:space="preserve">ly </w:t>
            </w:r>
            <w:r w:rsidRPr="001345F2">
              <w:rPr>
                <w:color w:val="auto"/>
                <w:sz w:val="22"/>
                <w:szCs w:val="22"/>
              </w:rPr>
              <w:t>and</w:t>
            </w:r>
            <w:r w:rsidR="00C92D22" w:rsidRPr="001345F2">
              <w:rPr>
                <w:color w:val="auto"/>
                <w:sz w:val="22"/>
                <w:szCs w:val="22"/>
              </w:rPr>
              <w:t>/or in writing (e.g. leaflet or brochure), by</w:t>
            </w:r>
            <w:r w:rsidRPr="001345F2">
              <w:rPr>
                <w:color w:val="auto"/>
                <w:sz w:val="22"/>
                <w:szCs w:val="22"/>
              </w:rPr>
              <w:t xml:space="preserve"> poster, </w:t>
            </w:r>
            <w:r w:rsidR="00C92D22" w:rsidRPr="001345F2">
              <w:rPr>
                <w:color w:val="auto"/>
                <w:sz w:val="22"/>
                <w:szCs w:val="22"/>
              </w:rPr>
              <w:t xml:space="preserve">by </w:t>
            </w:r>
            <w:r w:rsidRPr="001345F2">
              <w:rPr>
                <w:color w:val="auto"/>
                <w:sz w:val="22"/>
                <w:szCs w:val="22"/>
              </w:rPr>
              <w:t>notice,</w:t>
            </w:r>
            <w:r w:rsidR="00C92D22" w:rsidRPr="001345F2">
              <w:rPr>
                <w:color w:val="auto"/>
                <w:sz w:val="22"/>
                <w:szCs w:val="22"/>
              </w:rPr>
              <w:t xml:space="preserve"> on the</w:t>
            </w:r>
            <w:r w:rsidRPr="001345F2">
              <w:rPr>
                <w:color w:val="auto"/>
                <w:sz w:val="22"/>
                <w:szCs w:val="22"/>
              </w:rPr>
              <w:t xml:space="preserve"> patient portal</w:t>
            </w:r>
            <w:r w:rsidR="00C92D22" w:rsidRPr="001345F2">
              <w:rPr>
                <w:color w:val="auto"/>
                <w:sz w:val="22"/>
                <w:szCs w:val="22"/>
              </w:rPr>
              <w:t xml:space="preserve"> or the practice</w:t>
            </w:r>
            <w:r w:rsidRPr="001345F2">
              <w:rPr>
                <w:color w:val="auto"/>
                <w:sz w:val="22"/>
                <w:szCs w:val="22"/>
              </w:rPr>
              <w:t xml:space="preserve"> website</w:t>
            </w:r>
            <w:r w:rsidR="00C92D22" w:rsidRPr="001345F2">
              <w:rPr>
                <w:color w:val="auto"/>
                <w:sz w:val="22"/>
                <w:szCs w:val="22"/>
              </w:rPr>
              <w:t>.</w:t>
            </w:r>
            <w:r w:rsidRPr="001345F2">
              <w:rPr>
                <w:color w:val="auto"/>
                <w:sz w:val="22"/>
                <w:szCs w:val="22"/>
              </w:rPr>
              <w:t xml:space="preserve"> </w:t>
            </w:r>
          </w:p>
        </w:tc>
      </w:tr>
      <w:tr w:rsidR="000C07F9" w:rsidRPr="00A81435" w14:paraId="6054459E" w14:textId="77777777" w:rsidTr="003D2A73">
        <w:tc>
          <w:tcPr>
            <w:tcW w:w="1153" w:type="dxa"/>
          </w:tcPr>
          <w:p w14:paraId="64274D4C" w14:textId="2215D892" w:rsidR="000C07F9" w:rsidRPr="00B21354" w:rsidRDefault="000C07F9" w:rsidP="00B42877">
            <w:pPr>
              <w:spacing w:before="60"/>
              <w:rPr>
                <w:color w:val="auto"/>
                <w:sz w:val="22"/>
                <w:szCs w:val="22"/>
              </w:rPr>
            </w:pPr>
            <w:r>
              <w:rPr>
                <w:color w:val="auto"/>
                <w:sz w:val="22"/>
                <w:szCs w:val="22"/>
              </w:rPr>
              <w:t>13.6</w:t>
            </w:r>
          </w:p>
        </w:tc>
        <w:tc>
          <w:tcPr>
            <w:tcW w:w="4568" w:type="dxa"/>
          </w:tcPr>
          <w:p w14:paraId="52CD36D2" w14:textId="44A1BC97" w:rsidR="000C07F9" w:rsidRPr="00535059" w:rsidRDefault="000C07F9" w:rsidP="00971A5A">
            <w:pPr>
              <w:spacing w:before="60"/>
              <w:rPr>
                <w:rFonts w:cs="Arial"/>
                <w:color w:val="auto"/>
                <w:sz w:val="22"/>
                <w:szCs w:val="22"/>
              </w:rPr>
            </w:pPr>
            <w:r w:rsidRPr="00535059">
              <w:rPr>
                <w:rFonts w:cs="Arial"/>
                <w:color w:val="auto"/>
                <w:sz w:val="22"/>
                <w:szCs w:val="22"/>
              </w:rPr>
              <w:t>Keep a record of communications with patients informing them about test results</w:t>
            </w:r>
            <w:r w:rsidR="00971A5A" w:rsidRPr="00535059">
              <w:rPr>
                <w:rFonts w:cs="Arial"/>
                <w:color w:val="auto"/>
                <w:sz w:val="22"/>
                <w:szCs w:val="22"/>
              </w:rPr>
              <w:t>.</w:t>
            </w:r>
          </w:p>
        </w:tc>
        <w:tc>
          <w:tcPr>
            <w:tcW w:w="4075" w:type="dxa"/>
          </w:tcPr>
          <w:p w14:paraId="25BD0ACE" w14:textId="0386D6E2" w:rsidR="003D2A73" w:rsidRPr="001345F2" w:rsidRDefault="001345F2" w:rsidP="001345F2">
            <w:pPr>
              <w:pStyle w:val="ListParagraph"/>
              <w:spacing w:before="120"/>
              <w:ind w:left="14"/>
              <w:rPr>
                <w:color w:val="auto"/>
                <w:sz w:val="22"/>
                <w:szCs w:val="22"/>
              </w:rPr>
            </w:pPr>
            <w:r w:rsidRPr="001345F2">
              <w:rPr>
                <w:color w:val="auto"/>
                <w:sz w:val="22"/>
                <w:szCs w:val="22"/>
              </w:rPr>
              <w:t>C</w:t>
            </w:r>
            <w:r w:rsidR="003D2A73" w:rsidRPr="001345F2">
              <w:rPr>
                <w:color w:val="auto"/>
                <w:sz w:val="22"/>
                <w:szCs w:val="22"/>
              </w:rPr>
              <w:t xml:space="preserve">linical notes review </w:t>
            </w:r>
            <w:r w:rsidR="00535059" w:rsidRPr="001345F2">
              <w:rPr>
                <w:color w:val="auto"/>
                <w:sz w:val="22"/>
                <w:szCs w:val="22"/>
              </w:rPr>
              <w:t xml:space="preserve">of </w:t>
            </w:r>
            <w:r w:rsidR="003D2A73" w:rsidRPr="001345F2">
              <w:rPr>
                <w:color w:val="auto"/>
                <w:sz w:val="22"/>
                <w:szCs w:val="22"/>
              </w:rPr>
              <w:t>10 patient records in the 12 months prior to an onsite assessment is completed by all clinicians</w:t>
            </w:r>
          </w:p>
        </w:tc>
      </w:tr>
    </w:tbl>
    <w:p w14:paraId="26B68AF6" w14:textId="77777777" w:rsidR="00315260" w:rsidRPr="005B2DE1" w:rsidRDefault="00315260" w:rsidP="00315260">
      <w:pPr>
        <w:pStyle w:val="HHLBodyText"/>
        <w:spacing w:before="240"/>
        <w:rPr>
          <w:b/>
          <w:sz w:val="22"/>
          <w:szCs w:val="22"/>
        </w:rPr>
      </w:pPr>
      <w:r w:rsidRPr="005B2DE1">
        <w:rPr>
          <w:b/>
          <w:sz w:val="22"/>
          <w:szCs w:val="22"/>
        </w:rPr>
        <w:t>Required training</w:t>
      </w:r>
    </w:p>
    <w:p w14:paraId="43FDCF3E" w14:textId="47E40B5E" w:rsidR="00315260" w:rsidRPr="00EF0A0E" w:rsidRDefault="00A37508"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6E763507" w14:textId="77777777" w:rsidR="00315260" w:rsidRDefault="00315260" w:rsidP="00315260">
      <w:pPr>
        <w:spacing w:before="240" w:after="120"/>
        <w:rPr>
          <w:b/>
          <w:color w:val="auto"/>
          <w:sz w:val="22"/>
          <w:szCs w:val="22"/>
        </w:rPr>
      </w:pPr>
      <w:r w:rsidRPr="00A81435">
        <w:rPr>
          <w:b/>
          <w:color w:val="auto"/>
          <w:sz w:val="22"/>
          <w:szCs w:val="22"/>
        </w:rPr>
        <w:t>Guidance notes</w:t>
      </w:r>
    </w:p>
    <w:p w14:paraId="206B11AB" w14:textId="4F05F561" w:rsidR="00800543" w:rsidRPr="00B012DE" w:rsidRDefault="00800543" w:rsidP="00800543">
      <w:pPr>
        <w:rPr>
          <w:color w:val="auto"/>
          <w:sz w:val="22"/>
          <w:szCs w:val="22"/>
        </w:rPr>
      </w:pPr>
      <w:r w:rsidRPr="00B012DE">
        <w:rPr>
          <w:color w:val="auto"/>
          <w:sz w:val="22"/>
          <w:szCs w:val="22"/>
        </w:rPr>
        <w:t>Managing patient test results in general practice is a complex task. It involves all members of the practice team, relies on the systems in the general practice and the outside provider, and requires the results to be communicated to the patient in a timely, clinically appropriate and meaningful manner.</w:t>
      </w:r>
    </w:p>
    <w:p w14:paraId="469181CC" w14:textId="77777777" w:rsidR="00800543" w:rsidRPr="00B012DE" w:rsidRDefault="00800543" w:rsidP="00800543">
      <w:pPr>
        <w:rPr>
          <w:color w:val="auto"/>
          <w:sz w:val="22"/>
          <w:szCs w:val="22"/>
        </w:rPr>
      </w:pPr>
      <w:r w:rsidRPr="00B012DE">
        <w:rPr>
          <w:color w:val="auto"/>
          <w:sz w:val="22"/>
          <w:szCs w:val="22"/>
        </w:rPr>
        <w:t>The highly administrative nature of test result management can feel bureaucratic at times, but it is a critical part of a patient’s diagnostic work-up and the results often have significant implications for the care patients receive.</w:t>
      </w:r>
    </w:p>
    <w:p w14:paraId="572D3D2F" w14:textId="77777777" w:rsidR="00800543" w:rsidRPr="00B012DE" w:rsidRDefault="00800543" w:rsidP="00800543">
      <w:pPr>
        <w:rPr>
          <w:color w:val="auto"/>
          <w:sz w:val="22"/>
          <w:szCs w:val="22"/>
        </w:rPr>
      </w:pPr>
      <w:r w:rsidRPr="00B012DE">
        <w:rPr>
          <w:color w:val="auto"/>
          <w:sz w:val="22"/>
          <w:szCs w:val="22"/>
        </w:rPr>
        <w:t>The complexity involved means that errors can occur, and these have sometimes resulted in patient harm.</w:t>
      </w:r>
    </w:p>
    <w:p w14:paraId="7D911840" w14:textId="77777777" w:rsidR="00800543" w:rsidRPr="007571E6" w:rsidRDefault="00800543" w:rsidP="007571E6">
      <w:pPr>
        <w:pStyle w:val="HHLBodyText"/>
        <w:rPr>
          <w:i/>
        </w:rPr>
      </w:pPr>
      <w:r w:rsidRPr="007571E6">
        <w:rPr>
          <w:i/>
        </w:rPr>
        <w:t>Have clear policies and processes</w:t>
      </w:r>
    </w:p>
    <w:p w14:paraId="425C49D5" w14:textId="77777777" w:rsidR="00800543" w:rsidRPr="008929F7" w:rsidRDefault="00800543" w:rsidP="00800543">
      <w:pPr>
        <w:rPr>
          <w:color w:val="auto"/>
          <w:sz w:val="22"/>
          <w:szCs w:val="22"/>
        </w:rPr>
      </w:pPr>
      <w:r w:rsidRPr="008929F7">
        <w:rPr>
          <w:color w:val="auto"/>
          <w:sz w:val="22"/>
          <w:szCs w:val="22"/>
        </w:rPr>
        <w:t>Your practice must operate a reliable and defined process for recording and managing clinical investigations. There should be a clear indication of what action was initiated on all reports to enable correct tracking and management.</w:t>
      </w:r>
    </w:p>
    <w:p w14:paraId="69895082" w14:textId="77777777" w:rsidR="00800543" w:rsidRPr="008929F7" w:rsidRDefault="00800543" w:rsidP="00800543">
      <w:pPr>
        <w:rPr>
          <w:color w:val="auto"/>
          <w:sz w:val="22"/>
          <w:szCs w:val="22"/>
        </w:rPr>
      </w:pPr>
      <w:r w:rsidRPr="008929F7">
        <w:rPr>
          <w:color w:val="auto"/>
          <w:sz w:val="22"/>
          <w:szCs w:val="22"/>
        </w:rPr>
        <w:t>The principle is that patient reports are not lost in the system and are processed to ensure the right people get the right information within the timeframes identified by your practice. For every report or test there must be a person in the practice responsible for management and tracking.</w:t>
      </w:r>
    </w:p>
    <w:p w14:paraId="53E28D27" w14:textId="3CC05570" w:rsidR="00800543" w:rsidRPr="008929F7" w:rsidRDefault="00800543" w:rsidP="00800543">
      <w:pPr>
        <w:rPr>
          <w:color w:val="auto"/>
          <w:sz w:val="22"/>
          <w:szCs w:val="22"/>
        </w:rPr>
      </w:pPr>
      <w:r w:rsidRPr="008929F7">
        <w:rPr>
          <w:color w:val="auto"/>
          <w:sz w:val="22"/>
          <w:szCs w:val="22"/>
        </w:rPr>
        <w:lastRenderedPageBreak/>
        <w:t>Good practice requires that your practice should keep a record of telephone conversations</w:t>
      </w:r>
      <w:r w:rsidR="003278FF">
        <w:rPr>
          <w:color w:val="auto"/>
          <w:sz w:val="22"/>
          <w:szCs w:val="22"/>
        </w:rPr>
        <w:t xml:space="preserve"> and other </w:t>
      </w:r>
      <w:r w:rsidR="00856407">
        <w:rPr>
          <w:color w:val="auto"/>
          <w:sz w:val="22"/>
          <w:szCs w:val="22"/>
        </w:rPr>
        <w:t>communication</w:t>
      </w:r>
      <w:r w:rsidRPr="008929F7">
        <w:rPr>
          <w:color w:val="auto"/>
          <w:sz w:val="22"/>
          <w:szCs w:val="22"/>
        </w:rPr>
        <w:t xml:space="preserve"> with patients about test results also, noting the date and who advised the patient.</w:t>
      </w:r>
    </w:p>
    <w:p w14:paraId="354DE9A9" w14:textId="7E3BB78C" w:rsidR="00800543" w:rsidRDefault="00800543" w:rsidP="00800543">
      <w:pPr>
        <w:rPr>
          <w:color w:val="auto"/>
          <w:sz w:val="22"/>
          <w:szCs w:val="22"/>
        </w:rPr>
      </w:pPr>
      <w:r w:rsidRPr="008929F7">
        <w:rPr>
          <w:color w:val="auto"/>
          <w:sz w:val="22"/>
          <w:szCs w:val="22"/>
        </w:rPr>
        <w:t>Members of your practice team must be able to describe the system used by your practice to monitor, review and act on all incoming test results and medical reports.</w:t>
      </w:r>
    </w:p>
    <w:p w14:paraId="14C98601" w14:textId="77F6C0BD" w:rsidR="00800543" w:rsidRPr="003278FF" w:rsidRDefault="003278FF" w:rsidP="003278FF">
      <w:pPr>
        <w:pStyle w:val="HHLBodyText"/>
        <w:rPr>
          <w:sz w:val="22"/>
          <w:szCs w:val="22"/>
          <w:lang w:val="en-NZ"/>
        </w:rPr>
      </w:pPr>
      <w:r w:rsidRPr="003278FF">
        <w:rPr>
          <w:sz w:val="22"/>
          <w:szCs w:val="22"/>
          <w:lang w:val="en-NZ"/>
        </w:rPr>
        <w:t xml:space="preserve">A number of the requirements of this indicator can be met through correct </w:t>
      </w:r>
      <w:r w:rsidR="00856407" w:rsidRPr="003278FF">
        <w:rPr>
          <w:sz w:val="22"/>
          <w:szCs w:val="22"/>
          <w:lang w:val="en-NZ"/>
        </w:rPr>
        <w:t>usage</w:t>
      </w:r>
      <w:r w:rsidRPr="003278FF">
        <w:rPr>
          <w:sz w:val="22"/>
          <w:szCs w:val="22"/>
          <w:lang w:val="en-NZ"/>
        </w:rPr>
        <w:t xml:space="preserve"> of your practice’s PMS system and patient portal such as tracking of important test results, viewing of incoming new patient records and recording of notifications of results to patients. This capability can greatly reduce the workload impact of these criteria, although different PMS systems have varying capabilities in this regard, Demonstration of your practice IT implementation will facilitate assessor evaluation. </w:t>
      </w:r>
    </w:p>
    <w:p w14:paraId="12268CA3" w14:textId="77777777" w:rsidR="00800543" w:rsidRPr="008B2CEA" w:rsidRDefault="00800543" w:rsidP="008B2CEA">
      <w:pPr>
        <w:spacing w:before="240"/>
        <w:rPr>
          <w:i/>
          <w:color w:val="auto"/>
          <w:sz w:val="24"/>
        </w:rPr>
      </w:pPr>
      <w:r w:rsidRPr="008B2CEA">
        <w:rPr>
          <w:i/>
          <w:color w:val="auto"/>
          <w:sz w:val="24"/>
        </w:rPr>
        <w:t>Auditing your practice’s processes</w:t>
      </w:r>
    </w:p>
    <w:p w14:paraId="6BEE0C80" w14:textId="77777777" w:rsidR="00800543" w:rsidRPr="00825591" w:rsidRDefault="00800543" w:rsidP="00800543">
      <w:pPr>
        <w:rPr>
          <w:color w:val="auto"/>
          <w:sz w:val="22"/>
          <w:szCs w:val="22"/>
        </w:rPr>
      </w:pPr>
      <w:r w:rsidRPr="00825591">
        <w:rPr>
          <w:color w:val="auto"/>
          <w:sz w:val="22"/>
          <w:szCs w:val="22"/>
        </w:rPr>
        <w:t>Any medical investigations requested by your practice should have a clear pathway to an outcome (request, results, communicate results, record results, patient informed, action taken, dated, time limit identified).</w:t>
      </w:r>
    </w:p>
    <w:p w14:paraId="266268B0" w14:textId="77777777" w:rsidR="00800543" w:rsidRPr="00825591" w:rsidRDefault="00800543" w:rsidP="00800543">
      <w:pPr>
        <w:rPr>
          <w:color w:val="auto"/>
          <w:sz w:val="22"/>
          <w:szCs w:val="22"/>
        </w:rPr>
      </w:pPr>
      <w:r w:rsidRPr="00825591">
        <w:rPr>
          <w:color w:val="auto"/>
          <w:sz w:val="22"/>
          <w:szCs w:val="22"/>
        </w:rPr>
        <w:t>Auditing these processes allows you to see where any improvements need to be made.</w:t>
      </w:r>
    </w:p>
    <w:p w14:paraId="2856E7DA" w14:textId="77777777" w:rsidR="00800543" w:rsidRPr="00825591" w:rsidRDefault="00800543" w:rsidP="00800543">
      <w:pPr>
        <w:rPr>
          <w:color w:val="auto"/>
          <w:sz w:val="22"/>
          <w:szCs w:val="22"/>
        </w:rPr>
      </w:pPr>
      <w:r w:rsidRPr="00825591">
        <w:rPr>
          <w:color w:val="auto"/>
          <w:sz w:val="22"/>
          <w:szCs w:val="22"/>
        </w:rPr>
        <w:t>Key areas to focus on:</w:t>
      </w:r>
    </w:p>
    <w:p w14:paraId="29096DB7" w14:textId="2DF1153A" w:rsidR="00800543" w:rsidRPr="00825591" w:rsidRDefault="00800543" w:rsidP="008D486E">
      <w:pPr>
        <w:pStyle w:val="Bullets"/>
        <w:ind w:left="567" w:hanging="567"/>
        <w:rPr>
          <w:rStyle w:val="Bullet-grey"/>
          <w:rFonts w:ascii="Arial" w:hAnsi="Arial" w:cs="Arial"/>
        </w:rPr>
      </w:pPr>
      <w:r w:rsidRPr="00825591">
        <w:rPr>
          <w:rFonts w:ascii="Arial" w:hAnsi="Arial" w:cs="Arial"/>
        </w:rPr>
        <w:t xml:space="preserve">Identify </w:t>
      </w:r>
      <w:r w:rsidRPr="00825591">
        <w:rPr>
          <w:rStyle w:val="Bullet-grey"/>
          <w:rFonts w:ascii="Arial" w:hAnsi="Arial" w:cs="Arial"/>
        </w:rPr>
        <w:t xml:space="preserve">missing results, </w:t>
      </w:r>
      <w:r w:rsidR="002D3694" w:rsidRPr="00825591">
        <w:rPr>
          <w:rStyle w:val="Bullet-grey"/>
          <w:rFonts w:ascii="Arial" w:hAnsi="Arial" w:cs="Arial"/>
        </w:rPr>
        <w:t>i.e.</w:t>
      </w:r>
      <w:r w:rsidRPr="00825591">
        <w:rPr>
          <w:rStyle w:val="Bullet-grey"/>
          <w:rFonts w:ascii="Arial" w:hAnsi="Arial" w:cs="Arial"/>
        </w:rPr>
        <w:t xml:space="preserve"> not received from the laboratory, or ordered but information not complete</w:t>
      </w:r>
      <w:r w:rsidR="00825591">
        <w:rPr>
          <w:rStyle w:val="Bullet-grey"/>
          <w:rFonts w:ascii="Arial" w:hAnsi="Arial" w:cs="Arial"/>
        </w:rPr>
        <w:t>.</w:t>
      </w:r>
    </w:p>
    <w:p w14:paraId="69C2BEF3" w14:textId="14C81F79" w:rsidR="00800543" w:rsidRPr="00825591" w:rsidRDefault="00800543" w:rsidP="008D486E">
      <w:pPr>
        <w:pStyle w:val="Bullets"/>
        <w:ind w:left="567" w:hanging="567"/>
        <w:rPr>
          <w:rFonts w:ascii="Arial" w:hAnsi="Arial" w:cs="Arial"/>
        </w:rPr>
      </w:pPr>
      <w:r w:rsidRPr="00825591">
        <w:rPr>
          <w:rFonts w:ascii="Arial" w:hAnsi="Arial" w:cs="Arial"/>
        </w:rPr>
        <w:t>Provide information about what has happened to medical investigations that have been returned to the practice</w:t>
      </w:r>
      <w:r w:rsidR="00825591">
        <w:rPr>
          <w:rFonts w:ascii="Arial" w:hAnsi="Arial" w:cs="Arial"/>
        </w:rPr>
        <w:t>.</w:t>
      </w:r>
      <w:r w:rsidRPr="00825591">
        <w:rPr>
          <w:rFonts w:ascii="Arial" w:hAnsi="Arial" w:cs="Arial"/>
        </w:rPr>
        <w:t xml:space="preserve"> </w:t>
      </w:r>
    </w:p>
    <w:p w14:paraId="6F245654" w14:textId="5C6C30C8" w:rsidR="00800543" w:rsidRPr="00825591" w:rsidRDefault="00800543" w:rsidP="008D486E">
      <w:pPr>
        <w:pStyle w:val="Bullets"/>
        <w:ind w:left="567" w:hanging="567"/>
        <w:rPr>
          <w:rFonts w:ascii="Arial" w:hAnsi="Arial" w:cs="Arial"/>
        </w:rPr>
      </w:pPr>
      <w:r w:rsidRPr="00825591">
        <w:rPr>
          <w:rFonts w:ascii="Arial" w:hAnsi="Arial" w:cs="Arial"/>
        </w:rPr>
        <w:t>Appoint a clinical team member responsible for monitoring the review and action of all incoming test, results and medical reports (see clinical governance)</w:t>
      </w:r>
      <w:r w:rsidR="00825591">
        <w:rPr>
          <w:rFonts w:ascii="Arial" w:hAnsi="Arial" w:cs="Arial"/>
        </w:rPr>
        <w:t>.</w:t>
      </w:r>
    </w:p>
    <w:p w14:paraId="6010BD7D" w14:textId="3D9861F7" w:rsidR="00800543" w:rsidRPr="00825591" w:rsidRDefault="00800543" w:rsidP="008D486E">
      <w:pPr>
        <w:pStyle w:val="Bullets"/>
        <w:ind w:left="567" w:hanging="567"/>
        <w:rPr>
          <w:rFonts w:ascii="Arial" w:hAnsi="Arial" w:cs="Arial"/>
        </w:rPr>
      </w:pPr>
      <w:r w:rsidRPr="00825591">
        <w:rPr>
          <w:rFonts w:ascii="Arial" w:hAnsi="Arial" w:cs="Arial"/>
        </w:rPr>
        <w:t>Appoint a designated deputy, for example locum, to process the reports if that requester is not available or is on leave</w:t>
      </w:r>
      <w:r w:rsidR="00825591">
        <w:rPr>
          <w:rFonts w:ascii="Arial" w:hAnsi="Arial" w:cs="Arial"/>
        </w:rPr>
        <w:t>.</w:t>
      </w:r>
    </w:p>
    <w:p w14:paraId="7D4250AE" w14:textId="77777777" w:rsidR="00800543" w:rsidRPr="00825591" w:rsidRDefault="00800543" w:rsidP="008D486E">
      <w:pPr>
        <w:pStyle w:val="Bullets"/>
        <w:ind w:left="567" w:hanging="567"/>
        <w:rPr>
          <w:rFonts w:ascii="Arial" w:hAnsi="Arial" w:cs="Arial"/>
        </w:rPr>
      </w:pPr>
      <w:r w:rsidRPr="00825591">
        <w:rPr>
          <w:rFonts w:ascii="Arial" w:hAnsi="Arial" w:cs="Arial"/>
        </w:rPr>
        <w:t>Track specialist referrals.</w:t>
      </w:r>
    </w:p>
    <w:p w14:paraId="741E0F1B" w14:textId="77777777" w:rsidR="00800543" w:rsidRPr="00825591" w:rsidRDefault="00800543" w:rsidP="00B40CE8">
      <w:pPr>
        <w:spacing w:before="120"/>
        <w:rPr>
          <w:color w:val="auto"/>
          <w:sz w:val="22"/>
          <w:szCs w:val="22"/>
        </w:rPr>
      </w:pPr>
      <w:r w:rsidRPr="00825591">
        <w:rPr>
          <w:color w:val="auto"/>
          <w:sz w:val="22"/>
          <w:szCs w:val="22"/>
        </w:rPr>
        <w:t>Tracking methods may include:</w:t>
      </w:r>
    </w:p>
    <w:p w14:paraId="40366E3A" w14:textId="20E83BE0" w:rsidR="00800543" w:rsidRPr="00B40CE8" w:rsidRDefault="00800543" w:rsidP="008D486E">
      <w:pPr>
        <w:pStyle w:val="Bullets"/>
        <w:ind w:left="567" w:hanging="567"/>
        <w:rPr>
          <w:rFonts w:ascii="Arial" w:hAnsi="Arial" w:cs="Arial"/>
        </w:rPr>
      </w:pPr>
      <w:r w:rsidRPr="00B40CE8">
        <w:rPr>
          <w:rFonts w:ascii="Arial" w:hAnsi="Arial" w:cs="Arial"/>
        </w:rPr>
        <w:t>Automated electronic ‘flag’ to alert the requester at an identified period of time</w:t>
      </w:r>
      <w:r w:rsidR="00BD4D2B">
        <w:rPr>
          <w:rFonts w:ascii="Arial" w:hAnsi="Arial" w:cs="Arial"/>
        </w:rPr>
        <w:t>.</w:t>
      </w:r>
    </w:p>
    <w:p w14:paraId="032F84CF" w14:textId="77777777" w:rsidR="00800543" w:rsidRPr="00B40CE8" w:rsidRDefault="00800543" w:rsidP="008D486E">
      <w:pPr>
        <w:pStyle w:val="Bullets"/>
        <w:ind w:left="567" w:hanging="567"/>
        <w:rPr>
          <w:rFonts w:ascii="Arial" w:hAnsi="Arial" w:cs="Arial"/>
        </w:rPr>
      </w:pPr>
      <w:r w:rsidRPr="00B40CE8">
        <w:rPr>
          <w:rFonts w:ascii="Arial" w:hAnsi="Arial" w:cs="Arial"/>
        </w:rPr>
        <w:t>Automated electronic ‘task’ to direct the requester to investigate receipt of results at an identified period of time.</w:t>
      </w:r>
    </w:p>
    <w:p w14:paraId="5106B597" w14:textId="77777777" w:rsidR="00800543" w:rsidRPr="007571E6" w:rsidRDefault="00800543" w:rsidP="008B2CEA">
      <w:pPr>
        <w:pStyle w:val="HHLBodyText"/>
        <w:spacing w:before="240"/>
        <w:rPr>
          <w:i/>
        </w:rPr>
      </w:pPr>
      <w:r w:rsidRPr="007571E6">
        <w:rPr>
          <w:i/>
        </w:rPr>
        <w:t>How you communicate results with patients</w:t>
      </w:r>
    </w:p>
    <w:p w14:paraId="09714B23" w14:textId="77777777" w:rsidR="00800543" w:rsidRPr="008B2CEA" w:rsidRDefault="00800543" w:rsidP="00800543">
      <w:pPr>
        <w:rPr>
          <w:color w:val="auto"/>
          <w:sz w:val="22"/>
          <w:szCs w:val="22"/>
        </w:rPr>
      </w:pPr>
      <w:r w:rsidRPr="008B2CEA">
        <w:rPr>
          <w:color w:val="auto"/>
          <w:sz w:val="22"/>
          <w:szCs w:val="22"/>
        </w:rPr>
        <w:t>The Health and Disability Commissioner recommends doctors discuss the notification of test results with patients in advance; obtain, where possible, the patient’s consent to the notification of only abnormal results and encourage patients to call if they want confirmation of a normal result or have any questions. (NZGP 3 April 2002).</w:t>
      </w:r>
    </w:p>
    <w:p w14:paraId="5A5C29B2" w14:textId="66BC3D92" w:rsidR="00800543" w:rsidRPr="008B2CEA" w:rsidRDefault="00800543" w:rsidP="00800543">
      <w:pPr>
        <w:rPr>
          <w:color w:val="auto"/>
          <w:sz w:val="22"/>
          <w:szCs w:val="22"/>
        </w:rPr>
      </w:pPr>
      <w:r w:rsidRPr="008B2CEA">
        <w:rPr>
          <w:color w:val="auto"/>
          <w:sz w:val="22"/>
          <w:szCs w:val="22"/>
        </w:rPr>
        <w:t xml:space="preserve">The Health and Disability Commissioner states it is acceptable for doctors to have a clear arrangement that patients will only be notified when test results are of concern. However, unless there is clear evidence that such an arrangement has been made, patients need to be told all their results. It must be made clear to patients that they are entitled to be notified of all test results, and that even if they agree to be notified only of abnormal results, they are welcome to call the medical </w:t>
      </w:r>
      <w:r w:rsidR="00C80464" w:rsidRPr="008B2CEA">
        <w:rPr>
          <w:color w:val="auto"/>
          <w:sz w:val="22"/>
          <w:szCs w:val="22"/>
        </w:rPr>
        <w:t>practice</w:t>
      </w:r>
      <w:r w:rsidRPr="008B2CEA">
        <w:rPr>
          <w:color w:val="auto"/>
          <w:sz w:val="22"/>
          <w:szCs w:val="22"/>
        </w:rPr>
        <w:t xml:space="preserve"> and check whether their results have been received and what they are.</w:t>
      </w:r>
    </w:p>
    <w:p w14:paraId="1CB88368" w14:textId="38A701D5" w:rsidR="00800543" w:rsidRPr="008B2CEA" w:rsidRDefault="00800543" w:rsidP="00800543">
      <w:pPr>
        <w:rPr>
          <w:color w:val="auto"/>
          <w:sz w:val="22"/>
          <w:szCs w:val="22"/>
        </w:rPr>
      </w:pPr>
      <w:r w:rsidRPr="008B2CEA">
        <w:rPr>
          <w:color w:val="auto"/>
          <w:sz w:val="22"/>
          <w:szCs w:val="22"/>
        </w:rPr>
        <w:t>Make sure you reinforce your message by having information wherever possible (</w:t>
      </w:r>
      <w:r w:rsidR="002D3694" w:rsidRPr="008B2CEA">
        <w:rPr>
          <w:color w:val="auto"/>
          <w:sz w:val="22"/>
          <w:szCs w:val="22"/>
        </w:rPr>
        <w:t>e.g.</w:t>
      </w:r>
      <w:r w:rsidRPr="008B2CEA">
        <w:rPr>
          <w:color w:val="auto"/>
          <w:sz w:val="22"/>
          <w:szCs w:val="22"/>
        </w:rPr>
        <w:t xml:space="preserve"> waiting room, consultation room, patient information</w:t>
      </w:r>
      <w:r w:rsidR="003278FF">
        <w:rPr>
          <w:color w:val="auto"/>
          <w:sz w:val="22"/>
          <w:szCs w:val="22"/>
        </w:rPr>
        <w:t xml:space="preserve"> sheet</w:t>
      </w:r>
      <w:r w:rsidRPr="008B2CEA">
        <w:rPr>
          <w:color w:val="auto"/>
          <w:sz w:val="22"/>
          <w:szCs w:val="22"/>
        </w:rPr>
        <w:t xml:space="preserve">, practice website </w:t>
      </w:r>
      <w:r w:rsidR="007B2D37" w:rsidRPr="008B2CEA">
        <w:rPr>
          <w:color w:val="auto"/>
          <w:sz w:val="22"/>
          <w:szCs w:val="22"/>
        </w:rPr>
        <w:t>etc.</w:t>
      </w:r>
      <w:r w:rsidRPr="008B2CEA">
        <w:rPr>
          <w:color w:val="auto"/>
          <w:sz w:val="22"/>
          <w:szCs w:val="22"/>
        </w:rPr>
        <w:t>).</w:t>
      </w:r>
    </w:p>
    <w:p w14:paraId="6D95FC47" w14:textId="77777777" w:rsidR="00800543" w:rsidRPr="008B2CEA" w:rsidRDefault="00800543" w:rsidP="00800543">
      <w:pPr>
        <w:rPr>
          <w:color w:val="auto"/>
          <w:sz w:val="22"/>
          <w:szCs w:val="22"/>
        </w:rPr>
      </w:pPr>
      <w:r w:rsidRPr="008B2CEA">
        <w:rPr>
          <w:color w:val="auto"/>
          <w:sz w:val="22"/>
          <w:szCs w:val="22"/>
        </w:rPr>
        <w:t xml:space="preserve">Leaving patients to assume that silence means their test results are OK is not acceptable. See the </w:t>
      </w:r>
      <w:hyperlink r:id="rId109" w:history="1">
        <w:r w:rsidRPr="008B2CEA">
          <w:rPr>
            <w:rStyle w:val="Hyperlink"/>
            <w:color w:val="auto"/>
            <w:sz w:val="22"/>
            <w:szCs w:val="22"/>
          </w:rPr>
          <w:t>Health and Disability Commissioner</w:t>
        </w:r>
      </w:hyperlink>
      <w:r w:rsidRPr="008B2CEA">
        <w:rPr>
          <w:color w:val="auto"/>
          <w:sz w:val="22"/>
          <w:szCs w:val="22"/>
        </w:rPr>
        <w:t xml:space="preserve"> website.</w:t>
      </w:r>
    </w:p>
    <w:p w14:paraId="2DFC2548" w14:textId="77777777" w:rsidR="00800543" w:rsidRPr="008B2CEA" w:rsidRDefault="00800543" w:rsidP="008B2CEA">
      <w:pPr>
        <w:pStyle w:val="HHLBodyText"/>
        <w:spacing w:before="240"/>
        <w:rPr>
          <w:i/>
        </w:rPr>
      </w:pPr>
      <w:r w:rsidRPr="008B2CEA">
        <w:rPr>
          <w:i/>
        </w:rPr>
        <w:t>Recording communication with patients about tests:</w:t>
      </w:r>
    </w:p>
    <w:p w14:paraId="3D2F0DCD" w14:textId="77777777" w:rsidR="00800543" w:rsidRPr="005E4522" w:rsidRDefault="00800543" w:rsidP="00800543">
      <w:pPr>
        <w:rPr>
          <w:color w:val="auto"/>
          <w:sz w:val="22"/>
          <w:szCs w:val="22"/>
        </w:rPr>
      </w:pPr>
      <w:r w:rsidRPr="005E4522">
        <w:rPr>
          <w:color w:val="auto"/>
          <w:sz w:val="22"/>
          <w:szCs w:val="22"/>
        </w:rPr>
        <w:t>Communication (including phone calls and emails) about tests should be recorded in the electronic health record with:</w:t>
      </w:r>
    </w:p>
    <w:p w14:paraId="513158B9" w14:textId="084DD1E7" w:rsidR="00800543" w:rsidRPr="00810000" w:rsidRDefault="005E4522" w:rsidP="008D486E">
      <w:pPr>
        <w:pStyle w:val="Bullets"/>
        <w:ind w:left="567" w:hanging="567"/>
        <w:rPr>
          <w:rFonts w:ascii="Arial" w:hAnsi="Arial" w:cs="Arial"/>
        </w:rPr>
      </w:pPr>
      <w:r>
        <w:rPr>
          <w:rFonts w:ascii="Arial" w:hAnsi="Arial" w:cs="Arial"/>
        </w:rPr>
        <w:t>T</w:t>
      </w:r>
      <w:r w:rsidR="00800543" w:rsidRPr="00810000">
        <w:rPr>
          <w:rFonts w:ascii="Arial" w:hAnsi="Arial" w:cs="Arial"/>
        </w:rPr>
        <w:t>he date</w:t>
      </w:r>
      <w:r w:rsidR="00BD4D2B">
        <w:rPr>
          <w:rFonts w:ascii="Arial" w:hAnsi="Arial" w:cs="Arial"/>
        </w:rPr>
        <w:t>.</w:t>
      </w:r>
    </w:p>
    <w:p w14:paraId="6D259695" w14:textId="2C7A3002" w:rsidR="00800543" w:rsidRPr="00810000" w:rsidRDefault="005E4522" w:rsidP="008D486E">
      <w:pPr>
        <w:pStyle w:val="Bullets"/>
        <w:ind w:left="567" w:hanging="567"/>
        <w:rPr>
          <w:rFonts w:ascii="Arial" w:hAnsi="Arial" w:cs="Arial"/>
        </w:rPr>
      </w:pPr>
      <w:r>
        <w:rPr>
          <w:rFonts w:ascii="Arial" w:hAnsi="Arial" w:cs="Arial"/>
        </w:rPr>
        <w:lastRenderedPageBreak/>
        <w:t>T</w:t>
      </w:r>
      <w:r w:rsidR="00800543" w:rsidRPr="00810000">
        <w:rPr>
          <w:rFonts w:ascii="Arial" w:hAnsi="Arial" w:cs="Arial"/>
        </w:rPr>
        <w:t>he person identified who provided the result to the patient</w:t>
      </w:r>
      <w:r w:rsidR="00BD4D2B">
        <w:rPr>
          <w:rFonts w:ascii="Arial" w:hAnsi="Arial" w:cs="Arial"/>
        </w:rPr>
        <w:t>.</w:t>
      </w:r>
    </w:p>
    <w:p w14:paraId="560EC91D" w14:textId="66909331" w:rsidR="00800543" w:rsidRPr="00810000" w:rsidRDefault="005E4522" w:rsidP="008D486E">
      <w:pPr>
        <w:pStyle w:val="Bullets"/>
        <w:ind w:left="567" w:hanging="567"/>
        <w:rPr>
          <w:rFonts w:ascii="Arial" w:hAnsi="Arial" w:cs="Arial"/>
        </w:rPr>
      </w:pPr>
      <w:r>
        <w:rPr>
          <w:rFonts w:ascii="Arial" w:hAnsi="Arial" w:cs="Arial"/>
        </w:rPr>
        <w:t>A</w:t>
      </w:r>
      <w:r w:rsidR="00800543" w:rsidRPr="00810000">
        <w:rPr>
          <w:rFonts w:ascii="Arial" w:hAnsi="Arial" w:cs="Arial"/>
        </w:rPr>
        <w:t xml:space="preserve"> brief record of what information was conveyed</w:t>
      </w:r>
      <w:r w:rsidR="00BD4D2B">
        <w:rPr>
          <w:rFonts w:ascii="Arial" w:hAnsi="Arial" w:cs="Arial"/>
        </w:rPr>
        <w:t>.</w:t>
      </w:r>
    </w:p>
    <w:p w14:paraId="10464876" w14:textId="536BB02B" w:rsidR="00800543" w:rsidRPr="00810000" w:rsidRDefault="005E4522" w:rsidP="008D486E">
      <w:pPr>
        <w:pStyle w:val="Bullets"/>
        <w:ind w:left="567" w:hanging="567"/>
        <w:rPr>
          <w:rFonts w:ascii="Arial" w:hAnsi="Arial" w:cs="Arial"/>
        </w:rPr>
      </w:pPr>
      <w:r>
        <w:rPr>
          <w:rFonts w:ascii="Arial" w:hAnsi="Arial" w:cs="Arial"/>
        </w:rPr>
        <w:t>A</w:t>
      </w:r>
      <w:r w:rsidR="00800543" w:rsidRPr="00810000">
        <w:rPr>
          <w:rFonts w:ascii="Arial" w:hAnsi="Arial" w:cs="Arial"/>
        </w:rPr>
        <w:t xml:space="preserve"> record of what method was used to convey the information – telephone, letter, email, SMS (consider security of message system – </w:t>
      </w:r>
      <w:hyperlink r:id="rId110" w:history="1">
        <w:r w:rsidR="00800543" w:rsidRPr="00810000">
          <w:rPr>
            <w:rFonts w:ascii="Arial" w:hAnsi="Arial" w:cs="Arial"/>
          </w:rPr>
          <w:t>Health Information Privacy Code 1994</w:t>
        </w:r>
      </w:hyperlink>
      <w:r w:rsidR="00800543" w:rsidRPr="00810000">
        <w:rPr>
          <w:rFonts w:ascii="Arial" w:hAnsi="Arial" w:cs="Arial"/>
        </w:rPr>
        <w:t>)</w:t>
      </w:r>
      <w:r w:rsidR="00BD4D2B">
        <w:rPr>
          <w:rFonts w:ascii="Arial" w:hAnsi="Arial" w:cs="Arial"/>
        </w:rPr>
        <w:t>.</w:t>
      </w:r>
    </w:p>
    <w:p w14:paraId="0C7C4467" w14:textId="77777777" w:rsidR="00800543" w:rsidRPr="005E4522" w:rsidRDefault="00800543" w:rsidP="005E4522">
      <w:pPr>
        <w:spacing w:before="120"/>
        <w:rPr>
          <w:color w:val="auto"/>
          <w:sz w:val="22"/>
          <w:szCs w:val="22"/>
        </w:rPr>
      </w:pPr>
      <w:r w:rsidRPr="005E4522">
        <w:rPr>
          <w:color w:val="auto"/>
          <w:sz w:val="22"/>
          <w:szCs w:val="22"/>
        </w:rPr>
        <w:t>Other useful tips to consider:</w:t>
      </w:r>
    </w:p>
    <w:p w14:paraId="1658E283" w14:textId="655234A4" w:rsidR="00800543" w:rsidRPr="005E4522" w:rsidRDefault="00800543" w:rsidP="008D486E">
      <w:pPr>
        <w:pStyle w:val="Bullets"/>
        <w:ind w:left="567" w:hanging="567"/>
        <w:rPr>
          <w:rFonts w:ascii="Arial" w:hAnsi="Arial" w:cs="Arial"/>
        </w:rPr>
      </w:pPr>
      <w:r w:rsidRPr="005E4522">
        <w:rPr>
          <w:rFonts w:ascii="Arial" w:hAnsi="Arial" w:cs="Arial"/>
        </w:rPr>
        <w:t>Adding the patient’s preferred name</w:t>
      </w:r>
      <w:r w:rsidR="00BD4D2B">
        <w:rPr>
          <w:rFonts w:ascii="Arial" w:hAnsi="Arial" w:cs="Arial"/>
        </w:rPr>
        <w:t>.</w:t>
      </w:r>
    </w:p>
    <w:p w14:paraId="6AF66CD1" w14:textId="1DBA5B4F" w:rsidR="00800543" w:rsidRPr="005E4522" w:rsidRDefault="00800543" w:rsidP="008D486E">
      <w:pPr>
        <w:pStyle w:val="Bullets"/>
        <w:ind w:left="567" w:hanging="567"/>
        <w:rPr>
          <w:rFonts w:ascii="Arial" w:hAnsi="Arial" w:cs="Arial"/>
        </w:rPr>
      </w:pPr>
      <w:r w:rsidRPr="005E4522">
        <w:rPr>
          <w:rFonts w:ascii="Arial" w:hAnsi="Arial" w:cs="Arial"/>
        </w:rPr>
        <w:t>Clinical details – what is the purpose of the test being ordered? This helps the labs to process the testing</w:t>
      </w:r>
      <w:r w:rsidR="00BD4D2B">
        <w:rPr>
          <w:rFonts w:ascii="Arial" w:hAnsi="Arial" w:cs="Arial"/>
        </w:rPr>
        <w:t>.</w:t>
      </w:r>
    </w:p>
    <w:p w14:paraId="0AB974BB" w14:textId="114DB67A" w:rsidR="00800543" w:rsidRPr="005E4522" w:rsidRDefault="00800543" w:rsidP="008D486E">
      <w:pPr>
        <w:pStyle w:val="Bullets"/>
        <w:ind w:left="567" w:hanging="567"/>
        <w:rPr>
          <w:rFonts w:ascii="Arial" w:hAnsi="Arial" w:cs="Arial"/>
        </w:rPr>
      </w:pPr>
      <w:r w:rsidRPr="005E4522">
        <w:rPr>
          <w:rFonts w:ascii="Arial" w:hAnsi="Arial" w:cs="Arial"/>
        </w:rPr>
        <w:t>Start each new test on a new line (rather than in string/block text because it helps the lab staff to make sure they have each test)</w:t>
      </w:r>
      <w:r w:rsidR="00BD4D2B">
        <w:rPr>
          <w:rFonts w:ascii="Arial" w:hAnsi="Arial" w:cs="Arial"/>
        </w:rPr>
        <w:t>.</w:t>
      </w:r>
    </w:p>
    <w:p w14:paraId="07BFE581" w14:textId="6D5E1273" w:rsidR="00800543" w:rsidRPr="005E4522" w:rsidRDefault="00800543" w:rsidP="008D486E">
      <w:pPr>
        <w:pStyle w:val="Bullets"/>
        <w:ind w:left="567" w:hanging="567"/>
        <w:rPr>
          <w:rFonts w:ascii="Arial" w:hAnsi="Arial" w:cs="Arial"/>
        </w:rPr>
      </w:pPr>
      <w:r w:rsidRPr="005E4522">
        <w:rPr>
          <w:rFonts w:ascii="Arial" w:hAnsi="Arial" w:cs="Arial"/>
        </w:rPr>
        <w:t>Make sure hardcopy referrals are legible and are not too small</w:t>
      </w:r>
      <w:r w:rsidR="00BD4D2B">
        <w:rPr>
          <w:rFonts w:ascii="Arial" w:hAnsi="Arial" w:cs="Arial"/>
        </w:rPr>
        <w:t>.</w:t>
      </w:r>
    </w:p>
    <w:p w14:paraId="67D448D9" w14:textId="4CF6C574" w:rsidR="00800543" w:rsidRPr="005E4522" w:rsidRDefault="00800543" w:rsidP="008D486E">
      <w:pPr>
        <w:pStyle w:val="Bullets"/>
        <w:ind w:left="567" w:hanging="567"/>
        <w:rPr>
          <w:rFonts w:ascii="Arial" w:hAnsi="Arial" w:cs="Arial"/>
        </w:rPr>
      </w:pPr>
      <w:r w:rsidRPr="005E4522">
        <w:rPr>
          <w:rFonts w:ascii="Arial" w:hAnsi="Arial" w:cs="Arial"/>
        </w:rPr>
        <w:t>Ensure samples are in the correct containers</w:t>
      </w:r>
      <w:r w:rsidR="00BD4D2B">
        <w:rPr>
          <w:rFonts w:ascii="Arial" w:hAnsi="Arial" w:cs="Arial"/>
        </w:rPr>
        <w:t>.</w:t>
      </w:r>
    </w:p>
    <w:p w14:paraId="55FB9581" w14:textId="77777777" w:rsidR="00800543" w:rsidRPr="005E4522" w:rsidRDefault="00800543" w:rsidP="008D486E">
      <w:pPr>
        <w:pStyle w:val="Bullets"/>
        <w:ind w:left="567" w:hanging="567"/>
        <w:rPr>
          <w:rFonts w:ascii="Arial" w:hAnsi="Arial" w:cs="Arial"/>
        </w:rPr>
      </w:pPr>
      <w:r w:rsidRPr="005E4522">
        <w:rPr>
          <w:rFonts w:ascii="Arial" w:hAnsi="Arial" w:cs="Arial"/>
        </w:rPr>
        <w:t>Check referrals match samples.</w:t>
      </w:r>
    </w:p>
    <w:p w14:paraId="2FA36C8D" w14:textId="77777777" w:rsidR="00800543" w:rsidRPr="007571E6" w:rsidRDefault="00800543" w:rsidP="00BD4D2B">
      <w:pPr>
        <w:pStyle w:val="HHLBodyText"/>
        <w:spacing w:before="240"/>
        <w:rPr>
          <w:i/>
        </w:rPr>
      </w:pPr>
      <w:r w:rsidRPr="007571E6">
        <w:rPr>
          <w:i/>
        </w:rPr>
        <w:t>Vicarious liability</w:t>
      </w:r>
    </w:p>
    <w:p w14:paraId="2B882C46" w14:textId="77777777" w:rsidR="00800543" w:rsidRPr="00BD4D2B" w:rsidRDefault="00800543" w:rsidP="00087AA3">
      <w:pPr>
        <w:rPr>
          <w:color w:val="auto"/>
          <w:sz w:val="22"/>
          <w:szCs w:val="22"/>
        </w:rPr>
      </w:pPr>
      <w:r w:rsidRPr="00BD4D2B">
        <w:rPr>
          <w:color w:val="auto"/>
          <w:sz w:val="22"/>
          <w:szCs w:val="22"/>
        </w:rPr>
        <w:t>General practices will not ordinarily be held liable for lapses in care or communication by an individual practitioner who they ‘employ’. However, if the lapse was attributable to poor systems or inadequate protocols at the practice, the practice may be held vicariously liable. In practice, general</w:t>
      </w:r>
      <w:r w:rsidRPr="00BD4D2B">
        <w:rPr>
          <w:rFonts w:ascii="Swis721 BT" w:hAnsi="Swis721 BT" w:cs="Swis721 BT"/>
          <w:i/>
          <w:iCs/>
          <w:color w:val="auto"/>
          <w:sz w:val="22"/>
          <w:szCs w:val="22"/>
        </w:rPr>
        <w:t xml:space="preserve"> </w:t>
      </w:r>
      <w:r w:rsidRPr="00BD4D2B">
        <w:rPr>
          <w:color w:val="auto"/>
          <w:sz w:val="22"/>
          <w:szCs w:val="22"/>
        </w:rPr>
        <w:t>practices should have good, robust systems in place, provide appropriate training, guidance and support, and ensure ongoing audit and review.</w:t>
      </w:r>
    </w:p>
    <w:p w14:paraId="2217451C" w14:textId="359972BA" w:rsidR="00800543" w:rsidRPr="00DD24D5" w:rsidRDefault="00800543" w:rsidP="00087AA3">
      <w:r w:rsidRPr="00BD4D2B">
        <w:rPr>
          <w:color w:val="auto"/>
          <w:sz w:val="22"/>
          <w:szCs w:val="22"/>
        </w:rPr>
        <w:t xml:space="preserve">Under the Health and Disability Commissioner Act 1994, ‘employing </w:t>
      </w:r>
      <w:r w:rsidR="002D3694" w:rsidRPr="00BD4D2B">
        <w:rPr>
          <w:color w:val="auto"/>
          <w:sz w:val="22"/>
          <w:szCs w:val="22"/>
        </w:rPr>
        <w:t>authorities</w:t>
      </w:r>
      <w:r w:rsidRPr="00BD4D2B">
        <w:rPr>
          <w:color w:val="auto"/>
          <w:sz w:val="22"/>
          <w:szCs w:val="22"/>
        </w:rPr>
        <w:t xml:space="preserve"> will avoid vicarious liability if they can show that they took such steps as were reasonably practicable to prevent the acts or omissions that amount to a breach of the Code of Health and Disability Services Consumers’ Rights</w:t>
      </w:r>
      <w:r w:rsidRPr="00DD24D5">
        <w:t>.</w:t>
      </w:r>
    </w:p>
    <w:p w14:paraId="71C3082E" w14:textId="77777777" w:rsidR="00800543" w:rsidRPr="007571E6" w:rsidRDefault="00800543" w:rsidP="00BD4D2B">
      <w:pPr>
        <w:pStyle w:val="HHLBodyText"/>
        <w:spacing w:before="240"/>
        <w:rPr>
          <w:i/>
        </w:rPr>
      </w:pPr>
      <w:r w:rsidRPr="007571E6">
        <w:rPr>
          <w:i/>
        </w:rPr>
        <w:t>Clinical governance</w:t>
      </w:r>
    </w:p>
    <w:p w14:paraId="621DB1B6" w14:textId="5B0FB106" w:rsidR="00800543" w:rsidRPr="00BD4D2B" w:rsidRDefault="00800543" w:rsidP="00800543">
      <w:pPr>
        <w:rPr>
          <w:color w:val="auto"/>
          <w:sz w:val="22"/>
          <w:szCs w:val="22"/>
        </w:rPr>
      </w:pPr>
      <w:r w:rsidRPr="00BD4D2B">
        <w:rPr>
          <w:color w:val="auto"/>
          <w:sz w:val="22"/>
          <w:szCs w:val="22"/>
        </w:rPr>
        <w:t>Someone in your practice needs to take responsibility to ensure all clinical correspondence has been actioned. Some practices have one staff member (</w:t>
      </w:r>
      <w:r w:rsidR="002D3694" w:rsidRPr="00BD4D2B">
        <w:rPr>
          <w:color w:val="auto"/>
          <w:sz w:val="22"/>
          <w:szCs w:val="22"/>
        </w:rPr>
        <w:t>e.g.</w:t>
      </w:r>
      <w:r w:rsidRPr="00BD4D2B">
        <w:rPr>
          <w:color w:val="auto"/>
          <w:sz w:val="22"/>
          <w:szCs w:val="22"/>
        </w:rPr>
        <w:t xml:space="preserve"> senior clinician) who reviews all inboxes and outstanding items. This can also be a regular agenda item at clinical meetings. The key thing here is that any issues are monitored and addressed quickly.</w:t>
      </w:r>
    </w:p>
    <w:p w14:paraId="14B48C1F" w14:textId="77777777" w:rsidR="000500BE" w:rsidRPr="00A81435" w:rsidRDefault="000500BE" w:rsidP="000500BE">
      <w:pPr>
        <w:spacing w:before="240" w:after="120"/>
        <w:rPr>
          <w:b/>
          <w:color w:val="auto"/>
          <w:sz w:val="22"/>
          <w:szCs w:val="22"/>
        </w:rPr>
      </w:pPr>
      <w:r w:rsidRPr="00A81435">
        <w:rPr>
          <w:b/>
          <w:color w:val="auto"/>
          <w:sz w:val="22"/>
          <w:szCs w:val="22"/>
        </w:rPr>
        <w:t>Resources</w:t>
      </w:r>
    </w:p>
    <w:p w14:paraId="512492A8" w14:textId="45BED3F7" w:rsidR="000500BE" w:rsidRPr="00366721" w:rsidRDefault="00CF1416" w:rsidP="0024030C">
      <w:pPr>
        <w:pStyle w:val="Resourcelist"/>
        <w:spacing w:after="120"/>
        <w:rPr>
          <w:rStyle w:val="Hyperlink"/>
          <w:rFonts w:ascii="Arial" w:hAnsi="Arial" w:cs="Arial"/>
          <w:color w:val="0000FF"/>
        </w:rPr>
      </w:pPr>
      <w:hyperlink r:id="rId111" w:history="1">
        <w:r w:rsidR="00951908" w:rsidRPr="00366721">
          <w:rPr>
            <w:rStyle w:val="Hyperlink"/>
            <w:rFonts w:ascii="Arial" w:hAnsi="Arial" w:cs="Arial"/>
            <w:color w:val="0000FF"/>
          </w:rPr>
          <w:t>RNZCGP</w:t>
        </w:r>
        <w:r w:rsidR="00745444" w:rsidRPr="00366721">
          <w:rPr>
            <w:rStyle w:val="Hyperlink"/>
            <w:rFonts w:ascii="Arial" w:hAnsi="Arial" w:cs="Arial"/>
            <w:color w:val="0000FF"/>
          </w:rPr>
          <w:t>:</w:t>
        </w:r>
        <w:r w:rsidR="00951908" w:rsidRPr="00366721">
          <w:rPr>
            <w:rStyle w:val="Hyperlink"/>
            <w:rFonts w:ascii="Arial" w:hAnsi="Arial" w:cs="Arial"/>
            <w:color w:val="0000FF"/>
          </w:rPr>
          <w:t xml:space="preserve"> </w:t>
        </w:r>
        <w:r w:rsidR="000500BE" w:rsidRPr="00366721">
          <w:rPr>
            <w:rStyle w:val="Hyperlink"/>
            <w:rFonts w:ascii="Arial" w:hAnsi="Arial" w:cs="Arial"/>
            <w:color w:val="0000FF"/>
          </w:rPr>
          <w:t>Managing patient test results</w:t>
        </w:r>
      </w:hyperlink>
    </w:p>
    <w:p w14:paraId="438228BB" w14:textId="77777777" w:rsidR="000500BE" w:rsidRPr="00366721" w:rsidRDefault="00CF1416" w:rsidP="0024030C">
      <w:pPr>
        <w:pStyle w:val="Resourcelist"/>
        <w:spacing w:after="120"/>
        <w:rPr>
          <w:rStyle w:val="Hyperlink"/>
          <w:rFonts w:ascii="Arial" w:hAnsi="Arial" w:cs="Arial"/>
          <w:color w:val="0000FF"/>
        </w:rPr>
      </w:pPr>
      <w:hyperlink r:id="rId112" w:history="1">
        <w:r w:rsidR="000500BE" w:rsidRPr="00366721">
          <w:rPr>
            <w:rStyle w:val="Hyperlink"/>
            <w:rFonts w:ascii="Arial" w:hAnsi="Arial" w:cs="Arial"/>
            <w:color w:val="0000FF"/>
          </w:rPr>
          <w:t>Medical Protection: Handling test results</w:t>
        </w:r>
      </w:hyperlink>
    </w:p>
    <w:p w14:paraId="73616C91" w14:textId="734156E0" w:rsidR="000500BE" w:rsidRPr="00366721" w:rsidRDefault="00CF1416" w:rsidP="0024030C">
      <w:pPr>
        <w:pStyle w:val="Resourcelist"/>
        <w:spacing w:after="120"/>
        <w:rPr>
          <w:rStyle w:val="Hyperlink"/>
          <w:rFonts w:ascii="Arial" w:hAnsi="Arial" w:cs="Arial"/>
          <w:color w:val="0000FF"/>
        </w:rPr>
      </w:pPr>
      <w:hyperlink r:id="rId113" w:history="1">
        <w:r w:rsidR="00A52326" w:rsidRPr="00366721">
          <w:rPr>
            <w:rStyle w:val="Hyperlink"/>
            <w:rFonts w:ascii="Arial" w:hAnsi="Arial" w:cs="Arial"/>
            <w:color w:val="0000FF"/>
          </w:rPr>
          <w:t>MCNZ</w:t>
        </w:r>
        <w:r w:rsidR="00745444" w:rsidRPr="00366721">
          <w:rPr>
            <w:rStyle w:val="Hyperlink"/>
            <w:rFonts w:ascii="Arial" w:hAnsi="Arial" w:cs="Arial"/>
            <w:color w:val="0000FF"/>
          </w:rPr>
          <w:t>:</w:t>
        </w:r>
        <w:r w:rsidR="00A52326" w:rsidRPr="00366721">
          <w:rPr>
            <w:rStyle w:val="Hyperlink"/>
            <w:rFonts w:ascii="Arial" w:hAnsi="Arial" w:cs="Arial"/>
            <w:color w:val="0000FF"/>
          </w:rPr>
          <w:t xml:space="preserve"> </w:t>
        </w:r>
        <w:r w:rsidR="000500BE" w:rsidRPr="00366721">
          <w:rPr>
            <w:rStyle w:val="Hyperlink"/>
            <w:rFonts w:ascii="Arial" w:hAnsi="Arial" w:cs="Arial"/>
            <w:color w:val="0000FF"/>
          </w:rPr>
          <w:t>The management of clinical investigations</w:t>
        </w:r>
      </w:hyperlink>
      <w:r w:rsidR="000500BE" w:rsidRPr="00366721">
        <w:rPr>
          <w:rStyle w:val="Hyperlink"/>
          <w:rFonts w:ascii="Arial" w:hAnsi="Arial" w:cs="Arial"/>
          <w:color w:val="0000FF"/>
        </w:rPr>
        <w:t xml:space="preserve"> </w:t>
      </w:r>
    </w:p>
    <w:p w14:paraId="1AF7206D" w14:textId="02B9D5A0" w:rsidR="00951908" w:rsidRPr="0024030C" w:rsidRDefault="00CF1416" w:rsidP="0024030C">
      <w:pPr>
        <w:pStyle w:val="Resourcelist"/>
        <w:spacing w:after="120"/>
        <w:rPr>
          <w:rStyle w:val="Hyperlink"/>
          <w:color w:val="0000FF"/>
        </w:rPr>
      </w:pPr>
      <w:hyperlink r:id="rId114" w:history="1">
        <w:r w:rsidR="00951908" w:rsidRPr="00366721">
          <w:rPr>
            <w:rStyle w:val="Hyperlink"/>
            <w:rFonts w:ascii="Arial" w:hAnsi="Arial" w:cs="Arial"/>
            <w:color w:val="0000FF"/>
          </w:rPr>
          <w:t>Health and Disability Commissioner</w:t>
        </w:r>
      </w:hyperlink>
    </w:p>
    <w:p w14:paraId="13EFB4E4" w14:textId="77777777" w:rsidR="00315260" w:rsidRDefault="00315260">
      <w:pPr>
        <w:spacing w:after="0"/>
        <w:rPr>
          <w:b/>
          <w:color w:val="EE7624"/>
          <w:sz w:val="26"/>
        </w:rPr>
      </w:pPr>
      <w:r>
        <w:br w:type="page"/>
      </w:r>
    </w:p>
    <w:p w14:paraId="100C929C" w14:textId="6EAD1991" w:rsidR="00B52DDD" w:rsidRPr="00C55F31" w:rsidRDefault="00A81435" w:rsidP="008D486E">
      <w:pPr>
        <w:pStyle w:val="HHLSubHeading"/>
        <w:numPr>
          <w:ilvl w:val="0"/>
          <w:numId w:val="0"/>
        </w:numPr>
        <w:tabs>
          <w:tab w:val="left" w:pos="1560"/>
        </w:tabs>
      </w:pPr>
      <w:bookmarkStart w:id="52" w:name="_Toc6998673"/>
      <w:r w:rsidRPr="00C55F31">
        <w:lastRenderedPageBreak/>
        <w:t>Indicator 1</w:t>
      </w:r>
      <w:r w:rsidR="007571E6">
        <w:t>4</w:t>
      </w:r>
      <w:r w:rsidRPr="00C55F31">
        <w:t>.</w:t>
      </w:r>
      <w:r w:rsidR="008D486E">
        <w:tab/>
      </w:r>
      <w:r w:rsidR="00B52DDD" w:rsidRPr="00C55F31">
        <w:t>Continuity of care</w:t>
      </w:r>
      <w:bookmarkEnd w:id="52"/>
    </w:p>
    <w:p w14:paraId="14C4EF01" w14:textId="67FA7FFA" w:rsidR="00A81435" w:rsidRPr="00B52DDD" w:rsidRDefault="00A81435" w:rsidP="00B52DDD">
      <w:pPr>
        <w:pStyle w:val="HHLBodyText"/>
        <w:rPr>
          <w:b/>
        </w:rPr>
      </w:pPr>
      <w:r w:rsidRPr="00B52DDD">
        <w:rPr>
          <w:b/>
        </w:rPr>
        <w:t>Our practice provides continuity of care for patients.</w:t>
      </w:r>
    </w:p>
    <w:tbl>
      <w:tblPr>
        <w:tblStyle w:val="TableGrid1"/>
        <w:tblW w:w="0" w:type="auto"/>
        <w:tblLook w:val="04A0" w:firstRow="1" w:lastRow="0" w:firstColumn="1" w:lastColumn="0" w:noHBand="0" w:noVBand="1"/>
      </w:tblPr>
      <w:tblGrid>
        <w:gridCol w:w="1151"/>
        <w:gridCol w:w="4539"/>
        <w:gridCol w:w="4052"/>
      </w:tblGrid>
      <w:tr w:rsidR="00A81435" w:rsidRPr="00A81435" w14:paraId="44D5577F" w14:textId="77777777" w:rsidTr="008C2DB7">
        <w:tc>
          <w:tcPr>
            <w:tcW w:w="1153" w:type="dxa"/>
            <w:shd w:val="clear" w:color="auto" w:fill="FBD4B4" w:themeFill="accent6" w:themeFillTint="66"/>
          </w:tcPr>
          <w:p w14:paraId="6211A3B3" w14:textId="77777777" w:rsidR="00A81435" w:rsidRPr="00A81435" w:rsidRDefault="00A81435" w:rsidP="00A81435">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59C1EC8F" w14:textId="77777777" w:rsidR="00A81435" w:rsidRPr="00A81435" w:rsidRDefault="00A81435" w:rsidP="00A81435">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7F9CFE51" w14:textId="514281A5" w:rsidR="00A81435" w:rsidRPr="00A81435" w:rsidRDefault="00A81435" w:rsidP="00A81435">
            <w:pPr>
              <w:spacing w:before="120" w:after="120"/>
              <w:rPr>
                <w:b/>
                <w:color w:val="auto"/>
                <w:sz w:val="22"/>
                <w:szCs w:val="22"/>
              </w:rPr>
            </w:pPr>
            <w:r w:rsidRPr="00A81435">
              <w:rPr>
                <w:b/>
                <w:color w:val="auto"/>
                <w:sz w:val="22"/>
                <w:szCs w:val="22"/>
              </w:rPr>
              <w:t>Required evidence</w:t>
            </w:r>
          </w:p>
        </w:tc>
      </w:tr>
      <w:tr w:rsidR="00A81435" w:rsidRPr="00A81435" w14:paraId="4F4B1B30" w14:textId="77777777" w:rsidTr="008C2DB7">
        <w:tc>
          <w:tcPr>
            <w:tcW w:w="1153" w:type="dxa"/>
          </w:tcPr>
          <w:p w14:paraId="478A7688" w14:textId="5838746C" w:rsidR="00A81435" w:rsidRPr="00A81435" w:rsidRDefault="00A81435" w:rsidP="00A81435">
            <w:pPr>
              <w:spacing w:before="60"/>
              <w:rPr>
                <w:color w:val="auto"/>
                <w:sz w:val="22"/>
                <w:szCs w:val="22"/>
              </w:rPr>
            </w:pPr>
            <w:r w:rsidRPr="00A81435">
              <w:rPr>
                <w:color w:val="auto"/>
                <w:sz w:val="22"/>
                <w:szCs w:val="22"/>
              </w:rPr>
              <w:t>1</w:t>
            </w:r>
            <w:r w:rsidR="007571E6">
              <w:rPr>
                <w:color w:val="auto"/>
                <w:sz w:val="22"/>
                <w:szCs w:val="22"/>
              </w:rPr>
              <w:t>4</w:t>
            </w:r>
            <w:r w:rsidRPr="00A81435">
              <w:rPr>
                <w:color w:val="auto"/>
                <w:sz w:val="22"/>
                <w:szCs w:val="22"/>
              </w:rPr>
              <w:t>.1</w:t>
            </w:r>
          </w:p>
        </w:tc>
        <w:tc>
          <w:tcPr>
            <w:tcW w:w="4568" w:type="dxa"/>
          </w:tcPr>
          <w:p w14:paraId="7ACDCF60" w14:textId="2A3B1848" w:rsidR="00A81435" w:rsidRPr="006A39F9" w:rsidRDefault="00447F9A" w:rsidP="00447F9A">
            <w:pPr>
              <w:spacing w:before="60"/>
              <w:rPr>
                <w:rFonts w:cs="Arial"/>
                <w:color w:val="auto"/>
                <w:sz w:val="22"/>
                <w:szCs w:val="22"/>
              </w:rPr>
            </w:pPr>
            <w:r w:rsidRPr="000F30BC">
              <w:rPr>
                <w:rFonts w:cs="Arial"/>
                <w:color w:val="auto"/>
                <w:sz w:val="22"/>
                <w:szCs w:val="22"/>
              </w:rPr>
              <w:t xml:space="preserve">Have </w:t>
            </w:r>
            <w:r w:rsidR="00281936">
              <w:rPr>
                <w:rFonts w:cs="Arial"/>
                <w:color w:val="auto"/>
                <w:sz w:val="22"/>
                <w:szCs w:val="22"/>
              </w:rPr>
              <w:t xml:space="preserve">an </w:t>
            </w:r>
            <w:r w:rsidRPr="000F30BC">
              <w:rPr>
                <w:rFonts w:cs="Arial"/>
                <w:color w:val="auto"/>
                <w:sz w:val="22"/>
                <w:szCs w:val="22"/>
              </w:rPr>
              <w:t xml:space="preserve">effective referral system </w:t>
            </w:r>
            <w:r w:rsidR="007F60F4">
              <w:rPr>
                <w:rFonts w:cs="Arial"/>
                <w:color w:val="auto"/>
                <w:sz w:val="22"/>
                <w:szCs w:val="22"/>
              </w:rPr>
              <w:t xml:space="preserve">to </w:t>
            </w:r>
            <w:r w:rsidRPr="000F30BC">
              <w:rPr>
                <w:rFonts w:cs="Arial"/>
                <w:color w:val="auto"/>
                <w:sz w:val="22"/>
                <w:szCs w:val="22"/>
              </w:rPr>
              <w:t xml:space="preserve">other primary </w:t>
            </w:r>
            <w:r w:rsidR="007F60F4">
              <w:rPr>
                <w:rFonts w:cs="Arial"/>
                <w:color w:val="auto"/>
                <w:sz w:val="22"/>
                <w:szCs w:val="22"/>
              </w:rPr>
              <w:t xml:space="preserve">or </w:t>
            </w:r>
            <w:r w:rsidRPr="000F30BC">
              <w:rPr>
                <w:rFonts w:cs="Arial"/>
                <w:color w:val="auto"/>
                <w:sz w:val="22"/>
                <w:szCs w:val="22"/>
              </w:rPr>
              <w:t>secondary care providers (an electronic referral system where available)</w:t>
            </w:r>
            <w:r w:rsidR="006A39F9">
              <w:rPr>
                <w:rFonts w:cs="Arial"/>
                <w:color w:val="auto"/>
                <w:sz w:val="22"/>
                <w:szCs w:val="22"/>
              </w:rPr>
              <w:t>.</w:t>
            </w:r>
          </w:p>
        </w:tc>
        <w:tc>
          <w:tcPr>
            <w:tcW w:w="4075" w:type="dxa"/>
          </w:tcPr>
          <w:p w14:paraId="44997C87" w14:textId="73DFFB86" w:rsidR="00735ABB" w:rsidRPr="00A81435" w:rsidRDefault="00735ABB" w:rsidP="00A81435">
            <w:pPr>
              <w:spacing w:before="60"/>
              <w:rPr>
                <w:color w:val="auto"/>
                <w:sz w:val="22"/>
                <w:szCs w:val="22"/>
              </w:rPr>
            </w:pPr>
            <w:r>
              <w:rPr>
                <w:color w:val="auto"/>
                <w:sz w:val="22"/>
                <w:szCs w:val="22"/>
                <w:lang w:val="en-NZ"/>
              </w:rPr>
              <w:t>Demonstrate how the referral system works between primary and secondary care.</w:t>
            </w:r>
          </w:p>
        </w:tc>
      </w:tr>
      <w:tr w:rsidR="006666EE" w:rsidRPr="00A81435" w14:paraId="20D0A586" w14:textId="77777777" w:rsidTr="008C2DB7">
        <w:tc>
          <w:tcPr>
            <w:tcW w:w="1153" w:type="dxa"/>
          </w:tcPr>
          <w:p w14:paraId="0E2B5441" w14:textId="455E5BBE" w:rsidR="006666EE" w:rsidRPr="00A81435" w:rsidRDefault="0011332B" w:rsidP="00A81435">
            <w:pPr>
              <w:spacing w:before="60"/>
              <w:rPr>
                <w:color w:val="auto"/>
                <w:sz w:val="22"/>
                <w:szCs w:val="22"/>
              </w:rPr>
            </w:pPr>
            <w:r>
              <w:rPr>
                <w:color w:val="auto"/>
                <w:sz w:val="22"/>
                <w:szCs w:val="22"/>
              </w:rPr>
              <w:t>1</w:t>
            </w:r>
            <w:r w:rsidR="007571E6">
              <w:rPr>
                <w:color w:val="auto"/>
                <w:sz w:val="22"/>
                <w:szCs w:val="22"/>
              </w:rPr>
              <w:t>4</w:t>
            </w:r>
            <w:r>
              <w:rPr>
                <w:color w:val="auto"/>
                <w:sz w:val="22"/>
                <w:szCs w:val="22"/>
              </w:rPr>
              <w:t>.2</w:t>
            </w:r>
          </w:p>
        </w:tc>
        <w:tc>
          <w:tcPr>
            <w:tcW w:w="4568" w:type="dxa"/>
          </w:tcPr>
          <w:p w14:paraId="2F4BE85A" w14:textId="625244D9" w:rsidR="006666EE" w:rsidRPr="000F30BC" w:rsidRDefault="006666EE" w:rsidP="000F30BC">
            <w:pPr>
              <w:spacing w:before="60"/>
              <w:rPr>
                <w:rFonts w:cs="Arial"/>
                <w:color w:val="auto"/>
                <w:sz w:val="22"/>
                <w:szCs w:val="22"/>
              </w:rPr>
            </w:pPr>
            <w:r w:rsidRPr="000F30BC">
              <w:rPr>
                <w:rFonts w:cs="Arial"/>
                <w:color w:val="auto"/>
                <w:sz w:val="22"/>
                <w:szCs w:val="22"/>
              </w:rPr>
              <w:t>Have a process for the safe and effective transfer of clinical responsibility when transferring patients to clinicians within your practice (e.g. to and from a locum) or to providers and services outside your practice (handover)</w:t>
            </w:r>
            <w:r w:rsidR="006A39F9">
              <w:rPr>
                <w:rFonts w:cs="Arial"/>
                <w:color w:val="auto"/>
                <w:sz w:val="22"/>
                <w:szCs w:val="22"/>
              </w:rPr>
              <w:t>.</w:t>
            </w:r>
          </w:p>
        </w:tc>
        <w:tc>
          <w:tcPr>
            <w:tcW w:w="4075" w:type="dxa"/>
          </w:tcPr>
          <w:p w14:paraId="0E1D9B04" w14:textId="165D6DCE" w:rsidR="006666EE" w:rsidRPr="00A81435" w:rsidRDefault="00735ABB" w:rsidP="00A81435">
            <w:pPr>
              <w:spacing w:before="60"/>
              <w:rPr>
                <w:color w:val="auto"/>
                <w:sz w:val="22"/>
                <w:szCs w:val="22"/>
              </w:rPr>
            </w:pPr>
            <w:r>
              <w:rPr>
                <w:color w:val="auto"/>
                <w:sz w:val="22"/>
                <w:szCs w:val="22"/>
              </w:rPr>
              <w:t xml:space="preserve">Demonstrate </w:t>
            </w:r>
            <w:r w:rsidR="00063926">
              <w:rPr>
                <w:color w:val="auto"/>
                <w:sz w:val="22"/>
                <w:szCs w:val="22"/>
              </w:rPr>
              <w:t xml:space="preserve">the </w:t>
            </w:r>
            <w:r w:rsidR="00864FA1">
              <w:rPr>
                <w:color w:val="auto"/>
                <w:sz w:val="22"/>
                <w:szCs w:val="22"/>
              </w:rPr>
              <w:t xml:space="preserve">process for the transfer of clinical </w:t>
            </w:r>
            <w:r w:rsidR="002D3694">
              <w:rPr>
                <w:color w:val="auto"/>
                <w:sz w:val="22"/>
                <w:szCs w:val="22"/>
              </w:rPr>
              <w:t>responsibility</w:t>
            </w:r>
            <w:r w:rsidR="00864FA1">
              <w:rPr>
                <w:color w:val="auto"/>
                <w:sz w:val="22"/>
                <w:szCs w:val="22"/>
              </w:rPr>
              <w:t>.</w:t>
            </w:r>
          </w:p>
        </w:tc>
      </w:tr>
      <w:tr w:rsidR="006666EE" w:rsidRPr="00A81435" w14:paraId="7C2F7EBC" w14:textId="77777777" w:rsidTr="008C2DB7">
        <w:tc>
          <w:tcPr>
            <w:tcW w:w="1153" w:type="dxa"/>
          </w:tcPr>
          <w:p w14:paraId="0EA59768" w14:textId="2011736D" w:rsidR="006666EE" w:rsidRPr="00A81435" w:rsidRDefault="0011332B" w:rsidP="00A81435">
            <w:pPr>
              <w:spacing w:before="60"/>
              <w:rPr>
                <w:color w:val="auto"/>
                <w:sz w:val="22"/>
                <w:szCs w:val="22"/>
              </w:rPr>
            </w:pPr>
            <w:r>
              <w:rPr>
                <w:color w:val="auto"/>
                <w:sz w:val="22"/>
                <w:szCs w:val="22"/>
              </w:rPr>
              <w:t>1</w:t>
            </w:r>
            <w:r w:rsidR="007571E6">
              <w:rPr>
                <w:color w:val="auto"/>
                <w:sz w:val="22"/>
                <w:szCs w:val="22"/>
              </w:rPr>
              <w:t>4</w:t>
            </w:r>
            <w:r>
              <w:rPr>
                <w:color w:val="auto"/>
                <w:sz w:val="22"/>
                <w:szCs w:val="22"/>
              </w:rPr>
              <w:t>.3</w:t>
            </w:r>
          </w:p>
        </w:tc>
        <w:tc>
          <w:tcPr>
            <w:tcW w:w="4568" w:type="dxa"/>
          </w:tcPr>
          <w:p w14:paraId="01AE17E6" w14:textId="09281945" w:rsidR="006666EE" w:rsidRPr="00864FA1" w:rsidRDefault="0011332B" w:rsidP="00864FA1">
            <w:pPr>
              <w:spacing w:before="60"/>
              <w:rPr>
                <w:rFonts w:cs="Arial"/>
                <w:color w:val="auto"/>
                <w:sz w:val="22"/>
                <w:szCs w:val="22"/>
              </w:rPr>
            </w:pPr>
            <w:r w:rsidRPr="000F30BC">
              <w:rPr>
                <w:rFonts w:cs="Arial"/>
                <w:color w:val="auto"/>
                <w:sz w:val="22"/>
                <w:szCs w:val="22"/>
              </w:rPr>
              <w:t xml:space="preserve">Ensure patients with palliative care needs can always access their </w:t>
            </w:r>
            <w:r w:rsidR="00461173">
              <w:rPr>
                <w:rFonts w:cs="Arial"/>
                <w:color w:val="auto"/>
                <w:sz w:val="22"/>
                <w:szCs w:val="22"/>
              </w:rPr>
              <w:t xml:space="preserve">primary care provider </w:t>
            </w:r>
            <w:r w:rsidRPr="000F30BC">
              <w:rPr>
                <w:rFonts w:cs="Arial"/>
                <w:color w:val="auto"/>
                <w:sz w:val="22"/>
                <w:szCs w:val="22"/>
              </w:rPr>
              <w:t>or an informed clinician</w:t>
            </w:r>
            <w:r w:rsidR="006A39F9">
              <w:rPr>
                <w:rFonts w:cs="Arial"/>
                <w:color w:val="auto"/>
                <w:sz w:val="22"/>
                <w:szCs w:val="22"/>
              </w:rPr>
              <w:t>.</w:t>
            </w:r>
          </w:p>
        </w:tc>
        <w:tc>
          <w:tcPr>
            <w:tcW w:w="4075" w:type="dxa"/>
          </w:tcPr>
          <w:p w14:paraId="0411E19B" w14:textId="4A0B5D82" w:rsidR="006666EE" w:rsidRDefault="00FC67D4" w:rsidP="00A81435">
            <w:pPr>
              <w:spacing w:before="60"/>
              <w:rPr>
                <w:color w:val="auto"/>
                <w:sz w:val="22"/>
                <w:szCs w:val="22"/>
              </w:rPr>
            </w:pPr>
            <w:r>
              <w:rPr>
                <w:color w:val="auto"/>
                <w:sz w:val="22"/>
                <w:szCs w:val="22"/>
              </w:rPr>
              <w:t xml:space="preserve">Practice policy and </w:t>
            </w:r>
            <w:r w:rsidR="00000C2F">
              <w:rPr>
                <w:color w:val="auto"/>
                <w:sz w:val="22"/>
                <w:szCs w:val="22"/>
              </w:rPr>
              <w:t xml:space="preserve">procedure </w:t>
            </w:r>
          </w:p>
          <w:p w14:paraId="0ED77EFE" w14:textId="3D08A4DE" w:rsidR="00735ABB" w:rsidRPr="00A81435" w:rsidRDefault="00735ABB" w:rsidP="00A81435">
            <w:pPr>
              <w:spacing w:before="60"/>
              <w:rPr>
                <w:color w:val="auto"/>
                <w:sz w:val="22"/>
                <w:szCs w:val="22"/>
              </w:rPr>
            </w:pPr>
          </w:p>
        </w:tc>
      </w:tr>
      <w:tr w:rsidR="006666EE" w:rsidRPr="00A81435" w14:paraId="660763B0" w14:textId="77777777" w:rsidTr="008C2DB7">
        <w:tc>
          <w:tcPr>
            <w:tcW w:w="1153" w:type="dxa"/>
          </w:tcPr>
          <w:p w14:paraId="3E455B3D" w14:textId="229D22C8" w:rsidR="006666EE" w:rsidRPr="00A81435" w:rsidRDefault="0011332B" w:rsidP="00A81435">
            <w:pPr>
              <w:spacing w:before="60"/>
              <w:rPr>
                <w:color w:val="auto"/>
                <w:sz w:val="22"/>
                <w:szCs w:val="22"/>
              </w:rPr>
            </w:pPr>
            <w:r>
              <w:rPr>
                <w:color w:val="auto"/>
                <w:sz w:val="22"/>
                <w:szCs w:val="22"/>
              </w:rPr>
              <w:t>1</w:t>
            </w:r>
            <w:r w:rsidR="007571E6">
              <w:rPr>
                <w:color w:val="auto"/>
                <w:sz w:val="22"/>
                <w:szCs w:val="22"/>
              </w:rPr>
              <w:t>4</w:t>
            </w:r>
            <w:r>
              <w:rPr>
                <w:color w:val="auto"/>
                <w:sz w:val="22"/>
                <w:szCs w:val="22"/>
              </w:rPr>
              <w:t>.4</w:t>
            </w:r>
          </w:p>
        </w:tc>
        <w:tc>
          <w:tcPr>
            <w:tcW w:w="4568" w:type="dxa"/>
          </w:tcPr>
          <w:p w14:paraId="05C9F733" w14:textId="6E954FE2" w:rsidR="006666EE" w:rsidRPr="000F30BC" w:rsidRDefault="0011332B" w:rsidP="000F30BC">
            <w:pPr>
              <w:spacing w:before="60"/>
              <w:rPr>
                <w:rFonts w:cs="Arial"/>
                <w:color w:val="auto"/>
                <w:sz w:val="22"/>
                <w:szCs w:val="22"/>
              </w:rPr>
            </w:pPr>
            <w:r w:rsidRPr="000F30BC">
              <w:rPr>
                <w:rFonts w:cs="Arial"/>
                <w:color w:val="auto"/>
                <w:sz w:val="22"/>
                <w:szCs w:val="22"/>
              </w:rPr>
              <w:t>Give patients the option</w:t>
            </w:r>
            <w:r w:rsidR="002D3694">
              <w:rPr>
                <w:rFonts w:cs="Arial"/>
                <w:color w:val="auto"/>
                <w:sz w:val="22"/>
                <w:szCs w:val="22"/>
              </w:rPr>
              <w:t xml:space="preserve"> to</w:t>
            </w:r>
            <w:r w:rsidRPr="000F30BC">
              <w:rPr>
                <w:rFonts w:cs="Arial"/>
                <w:color w:val="auto"/>
                <w:sz w:val="22"/>
                <w:szCs w:val="22"/>
              </w:rPr>
              <w:t xml:space="preserve"> see their pref</w:t>
            </w:r>
            <w:r w:rsidR="00AC2793">
              <w:rPr>
                <w:rFonts w:cs="Arial"/>
                <w:color w:val="auto"/>
                <w:sz w:val="22"/>
                <w:szCs w:val="22"/>
              </w:rPr>
              <w:t>e</w:t>
            </w:r>
            <w:r w:rsidRPr="000F30BC">
              <w:rPr>
                <w:rFonts w:cs="Arial"/>
                <w:color w:val="auto"/>
                <w:sz w:val="22"/>
                <w:szCs w:val="22"/>
              </w:rPr>
              <w:t>r</w:t>
            </w:r>
            <w:r w:rsidR="00AC2793">
              <w:rPr>
                <w:rFonts w:cs="Arial"/>
                <w:color w:val="auto"/>
                <w:sz w:val="22"/>
                <w:szCs w:val="22"/>
              </w:rPr>
              <w:t>r</w:t>
            </w:r>
            <w:r w:rsidRPr="000F30BC">
              <w:rPr>
                <w:rFonts w:cs="Arial"/>
                <w:color w:val="auto"/>
                <w:sz w:val="22"/>
                <w:szCs w:val="22"/>
              </w:rPr>
              <w:t>ed clinician(s).</w:t>
            </w:r>
          </w:p>
        </w:tc>
        <w:tc>
          <w:tcPr>
            <w:tcW w:w="4075" w:type="dxa"/>
          </w:tcPr>
          <w:p w14:paraId="47D637D0" w14:textId="145DC929" w:rsidR="00735ABB" w:rsidRDefault="00735ABB" w:rsidP="00A81435">
            <w:pPr>
              <w:spacing w:before="60"/>
              <w:rPr>
                <w:color w:val="auto"/>
                <w:sz w:val="22"/>
                <w:szCs w:val="22"/>
              </w:rPr>
            </w:pPr>
            <w:r>
              <w:rPr>
                <w:color w:val="auto"/>
                <w:sz w:val="22"/>
                <w:szCs w:val="22"/>
              </w:rPr>
              <w:t>Demonstrate a system that aims to accommodate a patient</w:t>
            </w:r>
            <w:r w:rsidR="003D2A73">
              <w:rPr>
                <w:color w:val="auto"/>
                <w:sz w:val="22"/>
                <w:szCs w:val="22"/>
              </w:rPr>
              <w:t>’</w:t>
            </w:r>
            <w:r>
              <w:rPr>
                <w:color w:val="auto"/>
                <w:sz w:val="22"/>
                <w:szCs w:val="22"/>
              </w:rPr>
              <w:t xml:space="preserve">s choice of clinician and appointment time, </w:t>
            </w:r>
            <w:r w:rsidR="003D2A73">
              <w:rPr>
                <w:color w:val="auto"/>
                <w:sz w:val="22"/>
                <w:szCs w:val="22"/>
              </w:rPr>
              <w:t>considering</w:t>
            </w:r>
            <w:r>
              <w:rPr>
                <w:color w:val="auto"/>
                <w:sz w:val="22"/>
                <w:szCs w:val="22"/>
              </w:rPr>
              <w:t xml:space="preserve"> the medical urgency of the issue </w:t>
            </w:r>
          </w:p>
          <w:p w14:paraId="301D104F" w14:textId="74825A7C" w:rsidR="00735ABB" w:rsidRPr="00A81435" w:rsidRDefault="00735ABB" w:rsidP="00A81435">
            <w:pPr>
              <w:spacing w:before="60"/>
              <w:rPr>
                <w:color w:val="auto"/>
                <w:sz w:val="22"/>
                <w:szCs w:val="22"/>
              </w:rPr>
            </w:pPr>
          </w:p>
        </w:tc>
      </w:tr>
    </w:tbl>
    <w:p w14:paraId="4A74F48C" w14:textId="77777777" w:rsidR="00B31578" w:rsidRPr="005B2DE1" w:rsidRDefault="00B31578" w:rsidP="00B31578">
      <w:pPr>
        <w:pStyle w:val="HHLBodyText"/>
        <w:spacing w:before="240"/>
        <w:rPr>
          <w:b/>
          <w:sz w:val="22"/>
          <w:szCs w:val="22"/>
        </w:rPr>
      </w:pPr>
      <w:r w:rsidRPr="005B2DE1">
        <w:rPr>
          <w:b/>
          <w:sz w:val="22"/>
          <w:szCs w:val="22"/>
        </w:rPr>
        <w:t>Required training</w:t>
      </w:r>
    </w:p>
    <w:p w14:paraId="1A29C325" w14:textId="0F5F49FE" w:rsidR="00B31578" w:rsidRPr="001E1CAB" w:rsidRDefault="001E1CAB"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0F5ED99B" w14:textId="3FD64534" w:rsidR="00A81435" w:rsidRPr="00A81435" w:rsidRDefault="00A81435" w:rsidP="00A81435">
      <w:pPr>
        <w:spacing w:before="240" w:after="120"/>
        <w:rPr>
          <w:b/>
          <w:color w:val="auto"/>
          <w:sz w:val="22"/>
          <w:szCs w:val="22"/>
        </w:rPr>
      </w:pPr>
      <w:r w:rsidRPr="00A81435">
        <w:rPr>
          <w:b/>
          <w:color w:val="auto"/>
          <w:sz w:val="22"/>
          <w:szCs w:val="22"/>
        </w:rPr>
        <w:t>Guidance notes</w:t>
      </w:r>
    </w:p>
    <w:p w14:paraId="09FE9A4F" w14:textId="1F91000F" w:rsidR="00793047" w:rsidRPr="003E46A1" w:rsidRDefault="00793047" w:rsidP="003E46A1">
      <w:pPr>
        <w:pStyle w:val="HHLBodyText"/>
        <w:rPr>
          <w:i/>
        </w:rPr>
      </w:pPr>
      <w:r w:rsidRPr="003E46A1">
        <w:rPr>
          <w:i/>
        </w:rPr>
        <w:t>Continuity of care management for patients within the practice</w:t>
      </w:r>
    </w:p>
    <w:p w14:paraId="077286AB" w14:textId="77777777" w:rsidR="00793047" w:rsidRPr="006A39F9" w:rsidRDefault="00793047" w:rsidP="006309E8">
      <w:pPr>
        <w:spacing w:after="120"/>
        <w:rPr>
          <w:color w:val="auto"/>
          <w:sz w:val="22"/>
          <w:szCs w:val="22"/>
        </w:rPr>
      </w:pPr>
      <w:r w:rsidRPr="006A39F9">
        <w:rPr>
          <w:color w:val="auto"/>
          <w:sz w:val="22"/>
          <w:szCs w:val="22"/>
        </w:rPr>
        <w:t>It is important to work collaboratively with colleagues to improve care, or maintain good care for patients, and to ensure continuity of care wherever possible.</w:t>
      </w:r>
    </w:p>
    <w:p w14:paraId="4FA509EA" w14:textId="77777777" w:rsidR="00793047" w:rsidRPr="006A39F9" w:rsidRDefault="00793047" w:rsidP="006309E8">
      <w:pPr>
        <w:spacing w:after="120"/>
        <w:rPr>
          <w:color w:val="auto"/>
          <w:sz w:val="22"/>
          <w:szCs w:val="22"/>
        </w:rPr>
      </w:pPr>
      <w:r w:rsidRPr="006A39F9">
        <w:rPr>
          <w:color w:val="auto"/>
          <w:sz w:val="22"/>
          <w:szCs w:val="22"/>
        </w:rPr>
        <w:t xml:space="preserve">Patients and colleagues need to understand the responsibilities in the team and who is responsible for each aspect of patient care. The practitioner who is the patient’s principal health provider is responsible for maintaining this continuity of care (see MCNZ: </w:t>
      </w:r>
      <w:hyperlink r:id="rId115" w:history="1">
        <w:r w:rsidRPr="006A39F9">
          <w:rPr>
            <w:color w:val="auto"/>
            <w:sz w:val="22"/>
            <w:szCs w:val="22"/>
            <w:u w:color="0000FF"/>
          </w:rPr>
          <w:t>Good medical practice</w:t>
        </w:r>
      </w:hyperlink>
      <w:r w:rsidRPr="006A39F9">
        <w:rPr>
          <w:color w:val="auto"/>
          <w:sz w:val="22"/>
          <w:szCs w:val="22"/>
        </w:rPr>
        <w:t>).</w:t>
      </w:r>
    </w:p>
    <w:p w14:paraId="097A2DE7" w14:textId="77777777" w:rsidR="00793047" w:rsidRPr="00DA4303" w:rsidRDefault="00793047" w:rsidP="00544206">
      <w:pPr>
        <w:pStyle w:val="HHLBodyText"/>
        <w:spacing w:before="240"/>
        <w:rPr>
          <w:i/>
        </w:rPr>
      </w:pPr>
      <w:r w:rsidRPr="00DA4303">
        <w:rPr>
          <w:i/>
        </w:rPr>
        <w:t>Effective linkages between your practice and secondary care</w:t>
      </w:r>
    </w:p>
    <w:p w14:paraId="2F3FACDE" w14:textId="77777777" w:rsidR="00793047" w:rsidRPr="000C14A5" w:rsidRDefault="00793047" w:rsidP="006309E8">
      <w:pPr>
        <w:spacing w:after="120"/>
        <w:rPr>
          <w:color w:val="auto"/>
          <w:sz w:val="22"/>
          <w:szCs w:val="22"/>
        </w:rPr>
      </w:pPr>
      <w:r w:rsidRPr="000C14A5">
        <w:rPr>
          <w:color w:val="auto"/>
          <w:sz w:val="22"/>
          <w:szCs w:val="22"/>
        </w:rPr>
        <w:t>Effective treatment of a patient’s illness often involves a coordinated effort between clinical staff in the primary and secondary/tertiary health care sectors.</w:t>
      </w:r>
    </w:p>
    <w:p w14:paraId="38D79219" w14:textId="77777777" w:rsidR="00793047" w:rsidRPr="000C14A5" w:rsidRDefault="00793047" w:rsidP="006309E8">
      <w:pPr>
        <w:spacing w:after="120"/>
        <w:rPr>
          <w:color w:val="auto"/>
          <w:sz w:val="22"/>
          <w:szCs w:val="22"/>
        </w:rPr>
      </w:pPr>
      <w:r w:rsidRPr="000C14A5">
        <w:rPr>
          <w:color w:val="auto"/>
          <w:sz w:val="22"/>
          <w:szCs w:val="22"/>
        </w:rPr>
        <w:t>Your practice has a shared responsibility for providing seamless care for a smooth transition between these primary and secondary or community interfaces.</w:t>
      </w:r>
    </w:p>
    <w:p w14:paraId="410C8D91" w14:textId="77777777" w:rsidR="00793047" w:rsidRPr="000C14A5" w:rsidRDefault="00793047" w:rsidP="006309E8">
      <w:pPr>
        <w:spacing w:after="120"/>
        <w:rPr>
          <w:color w:val="auto"/>
          <w:sz w:val="22"/>
          <w:szCs w:val="22"/>
        </w:rPr>
      </w:pPr>
      <w:r w:rsidRPr="000C14A5">
        <w:rPr>
          <w:color w:val="auto"/>
          <w:sz w:val="22"/>
          <w:szCs w:val="22"/>
        </w:rPr>
        <w:t>Your practice team must also provide comprehensive care that recognises and acts on the full range of health-related needs in the patient population, and refer your patients on if specific services are not provided by your practice.</w:t>
      </w:r>
    </w:p>
    <w:p w14:paraId="199FCE44" w14:textId="77777777" w:rsidR="00793047" w:rsidRPr="00544206" w:rsidRDefault="00793047" w:rsidP="00544206">
      <w:pPr>
        <w:pStyle w:val="HHLBodyText"/>
        <w:spacing w:before="240"/>
        <w:rPr>
          <w:i/>
        </w:rPr>
      </w:pPr>
      <w:r w:rsidRPr="00544206">
        <w:rPr>
          <w:i/>
        </w:rPr>
        <w:t>Effective communication is essential</w:t>
      </w:r>
    </w:p>
    <w:p w14:paraId="22B8D155" w14:textId="77777777" w:rsidR="00793047" w:rsidRPr="00B643F1" w:rsidRDefault="00793047" w:rsidP="006309E8">
      <w:pPr>
        <w:spacing w:after="120"/>
        <w:rPr>
          <w:rFonts w:cs="Arial"/>
          <w:color w:val="auto"/>
          <w:sz w:val="22"/>
          <w:szCs w:val="22"/>
        </w:rPr>
      </w:pPr>
      <w:r w:rsidRPr="00B643F1">
        <w:rPr>
          <w:rFonts w:cs="Arial"/>
          <w:color w:val="auto"/>
          <w:sz w:val="22"/>
          <w:szCs w:val="22"/>
        </w:rPr>
        <w:t xml:space="preserve">Effective communication and robust information is essential for working across interfaces and preventing patients getting lost in the system. </w:t>
      </w:r>
    </w:p>
    <w:p w14:paraId="2743806C" w14:textId="77777777" w:rsidR="00793047" w:rsidRPr="00B643F1" w:rsidRDefault="00793047" w:rsidP="006309E8">
      <w:pPr>
        <w:spacing w:after="120"/>
        <w:rPr>
          <w:rFonts w:cs="Arial"/>
          <w:color w:val="auto"/>
          <w:sz w:val="22"/>
          <w:szCs w:val="22"/>
        </w:rPr>
      </w:pPr>
      <w:r w:rsidRPr="00B643F1">
        <w:rPr>
          <w:rFonts w:cs="Arial"/>
          <w:color w:val="auto"/>
          <w:sz w:val="22"/>
          <w:szCs w:val="22"/>
        </w:rPr>
        <w:t>This is particularly important where information is shared across systems, in multidisciplinary teams and in networks. Lapses in continuity of care have occurred when patient information is not well documented, or when the pathway forward is not clear to other clinicians.</w:t>
      </w:r>
    </w:p>
    <w:p w14:paraId="63A28134" w14:textId="77777777" w:rsidR="00793047" w:rsidRPr="00B643F1" w:rsidRDefault="00793047" w:rsidP="006309E8">
      <w:pPr>
        <w:spacing w:after="120"/>
        <w:rPr>
          <w:rFonts w:cs="Arial"/>
          <w:color w:val="auto"/>
          <w:sz w:val="22"/>
          <w:szCs w:val="22"/>
        </w:rPr>
      </w:pPr>
      <w:r w:rsidRPr="00B643F1">
        <w:rPr>
          <w:rFonts w:cs="Arial"/>
          <w:color w:val="auto"/>
          <w:sz w:val="22"/>
          <w:szCs w:val="22"/>
        </w:rPr>
        <w:lastRenderedPageBreak/>
        <w:t>Your practice is required to provide evidence of effective electronic linkages between your practice and secondary care. More ways of linking will develop over time both regionally and nationally.</w:t>
      </w:r>
    </w:p>
    <w:p w14:paraId="6C439D27" w14:textId="77777777" w:rsidR="00793047" w:rsidRPr="00B643F1" w:rsidRDefault="00793047" w:rsidP="00793047">
      <w:pPr>
        <w:rPr>
          <w:rFonts w:cs="Arial"/>
          <w:color w:val="auto"/>
          <w:sz w:val="22"/>
          <w:szCs w:val="22"/>
        </w:rPr>
      </w:pPr>
      <w:r w:rsidRPr="00B643F1">
        <w:rPr>
          <w:rFonts w:cs="Arial"/>
          <w:color w:val="auto"/>
          <w:sz w:val="22"/>
          <w:szCs w:val="22"/>
        </w:rPr>
        <w:t>Examples include:</w:t>
      </w:r>
    </w:p>
    <w:p w14:paraId="78F0C545" w14:textId="509A3ED0" w:rsidR="00793047" w:rsidRPr="00F84075" w:rsidRDefault="00CF1416" w:rsidP="008D486E">
      <w:pPr>
        <w:pStyle w:val="Bullets"/>
        <w:ind w:left="567" w:hanging="567"/>
        <w:rPr>
          <w:rFonts w:ascii="Arial" w:hAnsi="Arial" w:cs="Arial"/>
        </w:rPr>
      </w:pPr>
      <w:hyperlink r:id="rId116" w:history="1">
        <w:r w:rsidR="00793047" w:rsidRPr="00F84075">
          <w:rPr>
            <w:rFonts w:ascii="Arial" w:hAnsi="Arial" w:cs="Arial"/>
          </w:rPr>
          <w:t>eReferrals</w:t>
        </w:r>
      </w:hyperlink>
    </w:p>
    <w:p w14:paraId="47CCDBAE" w14:textId="48688FD2" w:rsidR="00793047" w:rsidRPr="00F84075" w:rsidRDefault="00CF1416" w:rsidP="008D486E">
      <w:pPr>
        <w:pStyle w:val="Bullets"/>
        <w:ind w:left="567" w:hanging="567"/>
        <w:rPr>
          <w:rFonts w:ascii="Arial" w:hAnsi="Arial" w:cs="Arial"/>
        </w:rPr>
      </w:pPr>
      <w:hyperlink r:id="rId117" w:history="1">
        <w:r w:rsidR="00793047" w:rsidRPr="00F84075">
          <w:rPr>
            <w:rFonts w:ascii="Arial" w:hAnsi="Arial" w:cs="Arial"/>
          </w:rPr>
          <w:t>eDischarges</w:t>
        </w:r>
      </w:hyperlink>
    </w:p>
    <w:p w14:paraId="1914868B" w14:textId="71DDE587" w:rsidR="00793047" w:rsidRPr="00F84075" w:rsidRDefault="00F84075" w:rsidP="008D486E">
      <w:pPr>
        <w:pStyle w:val="Bullets"/>
        <w:ind w:left="567" w:hanging="567"/>
        <w:rPr>
          <w:rFonts w:ascii="Arial" w:hAnsi="Arial" w:cs="Arial"/>
        </w:rPr>
      </w:pPr>
      <w:r w:rsidRPr="00F84075">
        <w:rPr>
          <w:rFonts w:ascii="Arial" w:hAnsi="Arial" w:cs="Arial"/>
        </w:rPr>
        <w:t>E</w:t>
      </w:r>
      <w:r w:rsidR="00793047" w:rsidRPr="00F84075">
        <w:rPr>
          <w:rFonts w:ascii="Arial" w:hAnsi="Arial" w:cs="Arial"/>
        </w:rPr>
        <w:t>lectronic shared care records (</w:t>
      </w:r>
      <w:r w:rsidR="002D3694" w:rsidRPr="00F84075">
        <w:rPr>
          <w:rFonts w:ascii="Arial" w:hAnsi="Arial" w:cs="Arial"/>
        </w:rPr>
        <w:t>e.g.</w:t>
      </w:r>
      <w:r w:rsidR="00793047" w:rsidRPr="00F84075">
        <w:rPr>
          <w:rFonts w:ascii="Arial" w:hAnsi="Arial" w:cs="Arial"/>
        </w:rPr>
        <w:t xml:space="preserve"> HealthOne)</w:t>
      </w:r>
    </w:p>
    <w:p w14:paraId="437A3E4A" w14:textId="33EBA321" w:rsidR="00793047" w:rsidRPr="00F84075" w:rsidRDefault="00CF1416" w:rsidP="008D486E">
      <w:pPr>
        <w:pStyle w:val="Bullets"/>
        <w:ind w:left="567" w:hanging="567"/>
        <w:rPr>
          <w:rFonts w:ascii="Arial" w:hAnsi="Arial" w:cs="Arial"/>
        </w:rPr>
      </w:pPr>
      <w:hyperlink r:id="rId118" w:history="1">
        <w:r w:rsidR="00793047" w:rsidRPr="00F84075">
          <w:rPr>
            <w:rFonts w:ascii="Arial" w:hAnsi="Arial" w:cs="Arial"/>
          </w:rPr>
          <w:t>radiology information and picture archiving systems</w:t>
        </w:r>
      </w:hyperlink>
      <w:r w:rsidR="00793047" w:rsidRPr="00F84075">
        <w:rPr>
          <w:rFonts w:ascii="Arial" w:hAnsi="Arial" w:cs="Arial"/>
        </w:rPr>
        <w:t xml:space="preserve"> (</w:t>
      </w:r>
      <w:r w:rsidR="002D3694" w:rsidRPr="00F84075">
        <w:rPr>
          <w:rFonts w:ascii="Arial" w:hAnsi="Arial" w:cs="Arial"/>
        </w:rPr>
        <w:t>e.g.</w:t>
      </w:r>
      <w:r w:rsidR="00793047" w:rsidRPr="00F84075">
        <w:rPr>
          <w:rFonts w:ascii="Arial" w:hAnsi="Arial" w:cs="Arial"/>
        </w:rPr>
        <w:t xml:space="preserve"> Radiology Information System (RIS), Picture Archiving Communications System (PACS))</w:t>
      </w:r>
    </w:p>
    <w:p w14:paraId="43B474C6" w14:textId="4CD21E92" w:rsidR="00793047" w:rsidRPr="00F84075" w:rsidRDefault="00CF1416" w:rsidP="008D486E">
      <w:pPr>
        <w:pStyle w:val="Bullets"/>
        <w:ind w:left="567" w:hanging="567"/>
        <w:rPr>
          <w:rFonts w:ascii="Arial" w:hAnsi="Arial" w:cs="Arial"/>
        </w:rPr>
      </w:pPr>
      <w:hyperlink r:id="rId119" w:history="1">
        <w:r w:rsidR="0067634F" w:rsidRPr="00F84075">
          <w:rPr>
            <w:rFonts w:ascii="Arial" w:hAnsi="Arial" w:cs="Arial"/>
          </w:rPr>
          <w:t>M</w:t>
        </w:r>
        <w:r w:rsidR="00793047" w:rsidRPr="00F84075">
          <w:rPr>
            <w:rFonts w:ascii="Arial" w:hAnsi="Arial" w:cs="Arial"/>
          </w:rPr>
          <w:t>aternity clinical information system</w:t>
        </w:r>
      </w:hyperlink>
    </w:p>
    <w:p w14:paraId="7CF0AC3D" w14:textId="0F4107BA" w:rsidR="00793047" w:rsidRPr="00F84075" w:rsidRDefault="00793047" w:rsidP="008D486E">
      <w:pPr>
        <w:pStyle w:val="Bullets"/>
        <w:ind w:left="567" w:hanging="567"/>
        <w:rPr>
          <w:rFonts w:ascii="Arial" w:hAnsi="Arial" w:cs="Arial"/>
        </w:rPr>
      </w:pPr>
      <w:r w:rsidRPr="00F84075">
        <w:rPr>
          <w:rFonts w:ascii="Arial" w:hAnsi="Arial" w:cs="Arial"/>
        </w:rPr>
        <w:t>eMedicines reconciliation (eMR)</w:t>
      </w:r>
    </w:p>
    <w:p w14:paraId="380C97F9" w14:textId="77777777" w:rsidR="00793047" w:rsidRPr="00DA4303" w:rsidRDefault="00793047" w:rsidP="000C7C9E">
      <w:pPr>
        <w:pStyle w:val="HHLBodyText"/>
        <w:spacing w:before="240"/>
        <w:rPr>
          <w:i/>
        </w:rPr>
      </w:pPr>
      <w:r w:rsidRPr="00DA4303">
        <w:rPr>
          <w:i/>
        </w:rPr>
        <w:t>Transferring patients</w:t>
      </w:r>
    </w:p>
    <w:p w14:paraId="562EF004" w14:textId="77777777" w:rsidR="00793047" w:rsidRPr="00594BAC" w:rsidRDefault="00793047" w:rsidP="006309E8">
      <w:pPr>
        <w:spacing w:after="120"/>
        <w:rPr>
          <w:color w:val="auto"/>
          <w:sz w:val="22"/>
          <w:szCs w:val="22"/>
        </w:rPr>
      </w:pPr>
      <w:r w:rsidRPr="00594BAC">
        <w:rPr>
          <w:color w:val="auto"/>
          <w:sz w:val="22"/>
          <w:szCs w:val="22"/>
        </w:rPr>
        <w:t xml:space="preserve">Transfer of care involves transferring some or all of the responsibility for your patient’s ongoing care. </w:t>
      </w:r>
    </w:p>
    <w:p w14:paraId="61BAAB02" w14:textId="77777777" w:rsidR="00793047" w:rsidRPr="00594BAC" w:rsidRDefault="00793047" w:rsidP="006309E8">
      <w:pPr>
        <w:spacing w:after="120"/>
        <w:rPr>
          <w:color w:val="auto"/>
          <w:sz w:val="22"/>
          <w:szCs w:val="22"/>
        </w:rPr>
      </w:pPr>
      <w:r w:rsidRPr="00594BAC">
        <w:rPr>
          <w:color w:val="auto"/>
          <w:sz w:val="22"/>
          <w:szCs w:val="22"/>
        </w:rPr>
        <w:t xml:space="preserve">When your practitioners transfer care of a patient to another practitioner, they must ensure that the patient remains under the care of one of your practitioners at all times. The colleague should be provided with appropriate information about the patient and their care, and the chain of responsibility must be clear throughout the transfer. Where the transfer is for acute care, this information should be provided in a face-to-face or telephone discussion with the admitting doctor where possible. </w:t>
      </w:r>
    </w:p>
    <w:p w14:paraId="513F5899" w14:textId="77777777" w:rsidR="00793047" w:rsidRPr="00594BAC" w:rsidRDefault="00793047" w:rsidP="006309E8">
      <w:pPr>
        <w:spacing w:after="120"/>
        <w:rPr>
          <w:color w:val="auto"/>
          <w:sz w:val="22"/>
          <w:szCs w:val="22"/>
        </w:rPr>
      </w:pPr>
      <w:r w:rsidRPr="00594BAC">
        <w:rPr>
          <w:color w:val="auto"/>
          <w:sz w:val="22"/>
          <w:szCs w:val="22"/>
        </w:rPr>
        <w:t>All transfers must be appropriately documented. The patient should be aware of who is responsible for their care throughout the transfer, and how information about them is being shared (</w:t>
      </w:r>
      <w:hyperlink r:id="rId120" w:history="1">
        <w:r w:rsidRPr="00594BAC">
          <w:rPr>
            <w:color w:val="auto"/>
            <w:sz w:val="22"/>
            <w:szCs w:val="22"/>
            <w:u w:color="0000FF"/>
          </w:rPr>
          <w:t>MCNZ: Good medical practice</w:t>
        </w:r>
      </w:hyperlink>
      <w:r w:rsidRPr="00594BAC">
        <w:rPr>
          <w:color w:val="auto"/>
          <w:sz w:val="22"/>
          <w:szCs w:val="22"/>
        </w:rPr>
        <w:t>).</w:t>
      </w:r>
    </w:p>
    <w:p w14:paraId="0636BC81" w14:textId="77777777" w:rsidR="00793047" w:rsidRPr="00DA4303" w:rsidRDefault="00793047" w:rsidP="00594BAC">
      <w:pPr>
        <w:pStyle w:val="HHLBodyText"/>
        <w:spacing w:before="240"/>
        <w:rPr>
          <w:i/>
        </w:rPr>
      </w:pPr>
      <w:r w:rsidRPr="00DA4303">
        <w:rPr>
          <w:i/>
        </w:rPr>
        <w:t>Referring patients</w:t>
      </w:r>
    </w:p>
    <w:p w14:paraId="7CEA48F2" w14:textId="77777777" w:rsidR="00793047" w:rsidRPr="00E21767" w:rsidRDefault="00793047" w:rsidP="006309E8">
      <w:pPr>
        <w:spacing w:after="120"/>
        <w:rPr>
          <w:rFonts w:cs="Arial"/>
          <w:color w:val="auto"/>
          <w:sz w:val="22"/>
          <w:szCs w:val="22"/>
        </w:rPr>
      </w:pPr>
      <w:r w:rsidRPr="00E21767">
        <w:rPr>
          <w:rFonts w:cs="Arial"/>
          <w:color w:val="auto"/>
          <w:sz w:val="22"/>
          <w:szCs w:val="22"/>
        </w:rPr>
        <w:t>Referring involves transferring some or all of the responsibility for some aspects of your patient’s care.</w:t>
      </w:r>
    </w:p>
    <w:p w14:paraId="42FD72EF" w14:textId="77777777" w:rsidR="00793047" w:rsidRPr="00E21767" w:rsidRDefault="00793047" w:rsidP="006309E8">
      <w:pPr>
        <w:spacing w:after="120"/>
        <w:rPr>
          <w:rFonts w:cs="Arial"/>
          <w:color w:val="auto"/>
          <w:sz w:val="22"/>
          <w:szCs w:val="22"/>
        </w:rPr>
      </w:pPr>
      <w:r w:rsidRPr="00E21767">
        <w:rPr>
          <w:rFonts w:cs="Arial"/>
          <w:color w:val="auto"/>
          <w:sz w:val="22"/>
          <w:szCs w:val="22"/>
        </w:rPr>
        <w:t>Referring the patient is usually temporary and for a particular purpose, such as additional investigation, or treatment that is outside the clinician’s scope of practice. When a practitioner refers a patient, they should provide all relevant information about the patient’s history and present condition.</w:t>
      </w:r>
    </w:p>
    <w:p w14:paraId="102F20F4" w14:textId="77777777" w:rsidR="00793047" w:rsidRPr="00E21767" w:rsidRDefault="00793047" w:rsidP="006309E8">
      <w:pPr>
        <w:spacing w:after="120"/>
        <w:rPr>
          <w:rFonts w:cs="Arial"/>
          <w:color w:val="auto"/>
          <w:sz w:val="22"/>
          <w:szCs w:val="22"/>
        </w:rPr>
      </w:pPr>
      <w:r w:rsidRPr="00E21767">
        <w:rPr>
          <w:rFonts w:cs="Arial"/>
          <w:color w:val="auto"/>
          <w:sz w:val="22"/>
          <w:szCs w:val="22"/>
        </w:rPr>
        <w:t>All referrals must be appropriately documented (</w:t>
      </w:r>
      <w:hyperlink r:id="rId121" w:history="1">
        <w:r w:rsidRPr="00E21767">
          <w:rPr>
            <w:rFonts w:cs="Arial"/>
            <w:color w:val="auto"/>
            <w:sz w:val="22"/>
            <w:szCs w:val="22"/>
            <w:u w:color="0000FF"/>
          </w:rPr>
          <w:t>MCNZ: Good medical practice</w:t>
        </w:r>
      </w:hyperlink>
      <w:r w:rsidRPr="00E21767">
        <w:rPr>
          <w:rFonts w:cs="Arial"/>
          <w:color w:val="auto"/>
          <w:sz w:val="22"/>
          <w:szCs w:val="22"/>
        </w:rPr>
        <w:t>).</w:t>
      </w:r>
    </w:p>
    <w:p w14:paraId="7B0FFA38" w14:textId="77777777" w:rsidR="00793047" w:rsidRPr="00E21767" w:rsidRDefault="00793047" w:rsidP="00DB7CC3">
      <w:pPr>
        <w:spacing w:after="120"/>
        <w:rPr>
          <w:rFonts w:cs="Arial"/>
          <w:color w:val="auto"/>
          <w:sz w:val="22"/>
          <w:szCs w:val="22"/>
        </w:rPr>
      </w:pPr>
      <w:r w:rsidRPr="00E21767">
        <w:rPr>
          <w:rFonts w:cs="Arial"/>
          <w:color w:val="auto"/>
          <w:sz w:val="22"/>
          <w:szCs w:val="22"/>
        </w:rPr>
        <w:t>When a clinician orders a test and expects that the result may mean urgent care is needed, the referral must include one of the following:</w:t>
      </w:r>
    </w:p>
    <w:p w14:paraId="2EFF1E6C" w14:textId="77777777" w:rsidR="00793047" w:rsidRPr="00227ABA" w:rsidRDefault="00793047" w:rsidP="008D486E">
      <w:pPr>
        <w:pStyle w:val="Bullets"/>
        <w:ind w:left="567" w:hanging="567"/>
        <w:rPr>
          <w:rFonts w:ascii="Arial" w:hAnsi="Arial" w:cs="Arial"/>
        </w:rPr>
      </w:pPr>
      <w:r w:rsidRPr="00227ABA">
        <w:rPr>
          <w:rFonts w:ascii="Arial" w:hAnsi="Arial" w:cs="Arial"/>
        </w:rPr>
        <w:t>The referring practitioner’s out-of-hours contact details.</w:t>
      </w:r>
    </w:p>
    <w:p w14:paraId="0C3ED441" w14:textId="77777777" w:rsidR="00793047" w:rsidRPr="00227ABA" w:rsidRDefault="00793047" w:rsidP="008D486E">
      <w:pPr>
        <w:pStyle w:val="Bullets"/>
        <w:ind w:left="567" w:hanging="567"/>
        <w:rPr>
          <w:rFonts w:ascii="Arial" w:hAnsi="Arial" w:cs="Arial"/>
        </w:rPr>
      </w:pPr>
      <w:r w:rsidRPr="00227ABA">
        <w:rPr>
          <w:rFonts w:ascii="Arial" w:hAnsi="Arial" w:cs="Arial"/>
        </w:rPr>
        <w:t>The contact details of another health practitioner who will be providing after-hours cover in their absence.</w:t>
      </w:r>
    </w:p>
    <w:p w14:paraId="61616BDF" w14:textId="77777777" w:rsidR="00793047" w:rsidRPr="00E21767" w:rsidRDefault="00793047" w:rsidP="006309E8">
      <w:pPr>
        <w:spacing w:after="120"/>
        <w:rPr>
          <w:rFonts w:cs="Arial"/>
          <w:color w:val="auto"/>
          <w:sz w:val="22"/>
          <w:szCs w:val="22"/>
        </w:rPr>
      </w:pPr>
      <w:r w:rsidRPr="00E21767">
        <w:rPr>
          <w:rFonts w:cs="Arial"/>
          <w:color w:val="auto"/>
          <w:sz w:val="22"/>
          <w:szCs w:val="22"/>
        </w:rPr>
        <w:t>You should have a process for identifying and following up on overdue results.</w:t>
      </w:r>
    </w:p>
    <w:p w14:paraId="717434EF" w14:textId="77777777" w:rsidR="00793047" w:rsidRPr="00E21767" w:rsidRDefault="00793047" w:rsidP="006309E8">
      <w:pPr>
        <w:spacing w:after="120"/>
        <w:rPr>
          <w:rFonts w:cs="Arial"/>
          <w:color w:val="auto"/>
          <w:sz w:val="22"/>
          <w:szCs w:val="22"/>
        </w:rPr>
      </w:pPr>
      <w:r w:rsidRPr="00E21767">
        <w:rPr>
          <w:rFonts w:cs="Arial"/>
          <w:color w:val="auto"/>
          <w:sz w:val="22"/>
          <w:szCs w:val="22"/>
        </w:rPr>
        <w:t>It is recommended that you have a standardised communication process for the transfer of care to providers and services outside your practice. This might include (but is not limited to) templates for correspondence and checklists.</w:t>
      </w:r>
    </w:p>
    <w:p w14:paraId="121F9662" w14:textId="77777777" w:rsidR="00793047" w:rsidRPr="00DA4303" w:rsidRDefault="00793047" w:rsidP="007B290D">
      <w:pPr>
        <w:pStyle w:val="HHLBodyText"/>
        <w:spacing w:before="240"/>
        <w:rPr>
          <w:i/>
        </w:rPr>
      </w:pPr>
      <w:r w:rsidRPr="00DA4303">
        <w:rPr>
          <w:i/>
        </w:rPr>
        <w:t>‘Referring a patient to a colleague’ checklist</w:t>
      </w:r>
    </w:p>
    <w:p w14:paraId="60D8F442" w14:textId="6E625875" w:rsidR="00793047" w:rsidRPr="001062C2" w:rsidRDefault="00793047" w:rsidP="008D486E">
      <w:pPr>
        <w:pStyle w:val="Bullets"/>
        <w:ind w:left="567" w:hanging="567"/>
        <w:rPr>
          <w:rFonts w:ascii="Arial" w:hAnsi="Arial" w:cs="Arial"/>
        </w:rPr>
      </w:pPr>
      <w:r w:rsidRPr="001062C2">
        <w:rPr>
          <w:rFonts w:ascii="Arial" w:hAnsi="Arial" w:cs="Arial"/>
        </w:rPr>
        <w:t>Scope of the referral</w:t>
      </w:r>
    </w:p>
    <w:p w14:paraId="7E1F6CD4" w14:textId="276F8033" w:rsidR="00793047" w:rsidRPr="001062C2" w:rsidRDefault="00793047" w:rsidP="008D486E">
      <w:pPr>
        <w:pStyle w:val="Bullets"/>
        <w:ind w:left="567" w:hanging="567"/>
        <w:rPr>
          <w:rFonts w:ascii="Arial" w:hAnsi="Arial" w:cs="Arial"/>
        </w:rPr>
      </w:pPr>
      <w:r w:rsidRPr="001062C2">
        <w:rPr>
          <w:rFonts w:ascii="Arial" w:hAnsi="Arial" w:cs="Arial"/>
        </w:rPr>
        <w:t>Significant history – presenting complaint, past medical, social, family, drug/allergies</w:t>
      </w:r>
      <w:r w:rsidR="00AE45C1">
        <w:rPr>
          <w:rFonts w:ascii="Arial" w:hAnsi="Arial" w:cs="Arial"/>
        </w:rPr>
        <w:t>.</w:t>
      </w:r>
    </w:p>
    <w:p w14:paraId="169EED97" w14:textId="4DE8734B" w:rsidR="00793047" w:rsidRPr="001062C2" w:rsidRDefault="00793047" w:rsidP="008D486E">
      <w:pPr>
        <w:pStyle w:val="Bullets"/>
        <w:ind w:left="567" w:hanging="567"/>
        <w:rPr>
          <w:rFonts w:ascii="Arial" w:hAnsi="Arial" w:cs="Arial"/>
        </w:rPr>
      </w:pPr>
      <w:r w:rsidRPr="001062C2">
        <w:rPr>
          <w:rFonts w:ascii="Arial" w:hAnsi="Arial" w:cs="Arial"/>
        </w:rPr>
        <w:t>Physical findings</w:t>
      </w:r>
    </w:p>
    <w:p w14:paraId="6A0D74F9" w14:textId="699BE893" w:rsidR="00793047" w:rsidRPr="001062C2" w:rsidRDefault="00793047" w:rsidP="008D486E">
      <w:pPr>
        <w:pStyle w:val="Bullets"/>
        <w:ind w:left="567" w:hanging="567"/>
        <w:rPr>
          <w:rFonts w:ascii="Arial" w:hAnsi="Arial" w:cs="Arial"/>
        </w:rPr>
      </w:pPr>
      <w:r w:rsidRPr="001062C2">
        <w:rPr>
          <w:rFonts w:ascii="Arial" w:hAnsi="Arial" w:cs="Arial"/>
        </w:rPr>
        <w:t>Results of investigations done to date</w:t>
      </w:r>
    </w:p>
    <w:p w14:paraId="214D5A5D" w14:textId="1D363190" w:rsidR="00793047" w:rsidRPr="001062C2" w:rsidRDefault="00793047" w:rsidP="008D486E">
      <w:pPr>
        <w:pStyle w:val="Bullets"/>
        <w:ind w:left="567" w:hanging="567"/>
        <w:rPr>
          <w:rFonts w:ascii="Arial" w:hAnsi="Arial" w:cs="Arial"/>
        </w:rPr>
      </w:pPr>
      <w:r w:rsidRPr="001062C2">
        <w:rPr>
          <w:rFonts w:ascii="Arial" w:hAnsi="Arial" w:cs="Arial"/>
        </w:rPr>
        <w:t>Provisional diagnosis</w:t>
      </w:r>
    </w:p>
    <w:p w14:paraId="2F905676" w14:textId="431812D7" w:rsidR="00793047" w:rsidRPr="001062C2" w:rsidRDefault="00793047" w:rsidP="008D486E">
      <w:pPr>
        <w:pStyle w:val="Bullets"/>
        <w:ind w:left="567" w:hanging="567"/>
        <w:rPr>
          <w:rFonts w:ascii="Arial" w:hAnsi="Arial" w:cs="Arial"/>
        </w:rPr>
      </w:pPr>
      <w:r w:rsidRPr="001062C2">
        <w:rPr>
          <w:rFonts w:ascii="Arial" w:hAnsi="Arial" w:cs="Arial"/>
        </w:rPr>
        <w:t>Current medications</w:t>
      </w:r>
    </w:p>
    <w:p w14:paraId="4F51BAF1" w14:textId="0D979E6C" w:rsidR="00793047" w:rsidRPr="001062C2" w:rsidRDefault="00793047" w:rsidP="008D486E">
      <w:pPr>
        <w:pStyle w:val="Bullets"/>
        <w:ind w:left="567" w:hanging="567"/>
        <w:rPr>
          <w:rFonts w:ascii="Arial" w:hAnsi="Arial" w:cs="Arial"/>
        </w:rPr>
      </w:pPr>
      <w:r w:rsidRPr="001062C2">
        <w:rPr>
          <w:rFonts w:ascii="Arial" w:hAnsi="Arial" w:cs="Arial"/>
        </w:rPr>
        <w:t>Patient expressed preferences regarding treatment</w:t>
      </w:r>
    </w:p>
    <w:p w14:paraId="0D7D93BC" w14:textId="68BB6340" w:rsidR="00793047" w:rsidRPr="001062C2" w:rsidRDefault="00793047" w:rsidP="008D486E">
      <w:pPr>
        <w:pStyle w:val="Bullets"/>
        <w:ind w:left="567" w:hanging="567"/>
        <w:rPr>
          <w:rFonts w:ascii="Arial" w:hAnsi="Arial" w:cs="Arial"/>
        </w:rPr>
      </w:pPr>
      <w:r w:rsidRPr="001062C2">
        <w:rPr>
          <w:rFonts w:ascii="Arial" w:hAnsi="Arial" w:cs="Arial"/>
        </w:rPr>
        <w:lastRenderedPageBreak/>
        <w:t>Information provided to the patient about the condition and the referral</w:t>
      </w:r>
    </w:p>
    <w:p w14:paraId="25994128" w14:textId="77DB8E26" w:rsidR="00793047" w:rsidRPr="001062C2" w:rsidRDefault="00793047" w:rsidP="008D486E">
      <w:pPr>
        <w:pStyle w:val="Bullets"/>
        <w:ind w:left="567" w:hanging="567"/>
        <w:rPr>
          <w:rFonts w:ascii="Arial" w:hAnsi="Arial" w:cs="Arial"/>
        </w:rPr>
      </w:pPr>
      <w:r w:rsidRPr="001062C2">
        <w:rPr>
          <w:rFonts w:ascii="Arial" w:hAnsi="Arial" w:cs="Arial"/>
        </w:rPr>
        <w:t>Preferred method of being contacted if urgent reporting back is required</w:t>
      </w:r>
    </w:p>
    <w:p w14:paraId="0365554E" w14:textId="77777777" w:rsidR="00793047" w:rsidRPr="00DA4303" w:rsidRDefault="00793047" w:rsidP="00C76BB5">
      <w:pPr>
        <w:pStyle w:val="HHLBodyText"/>
        <w:spacing w:before="240"/>
        <w:rPr>
          <w:i/>
        </w:rPr>
      </w:pPr>
      <w:r w:rsidRPr="00DA4303">
        <w:rPr>
          <w:i/>
        </w:rPr>
        <w:t>‘Referring patient care back to a colleague’ checklist</w:t>
      </w:r>
    </w:p>
    <w:p w14:paraId="61864689" w14:textId="3CE94A55" w:rsidR="00793047" w:rsidRPr="00AE45C1" w:rsidRDefault="00793047" w:rsidP="008D486E">
      <w:pPr>
        <w:pStyle w:val="Bullets"/>
        <w:ind w:left="567" w:hanging="567"/>
        <w:rPr>
          <w:rFonts w:ascii="Arial" w:hAnsi="Arial" w:cs="Arial"/>
        </w:rPr>
      </w:pPr>
      <w:r w:rsidRPr="00AE45C1">
        <w:rPr>
          <w:rFonts w:ascii="Arial" w:hAnsi="Arial" w:cs="Arial"/>
        </w:rPr>
        <w:t>History obtained</w:t>
      </w:r>
    </w:p>
    <w:p w14:paraId="774CCE42" w14:textId="5CD5628A" w:rsidR="00793047" w:rsidRPr="00AE45C1" w:rsidRDefault="00793047" w:rsidP="008D486E">
      <w:pPr>
        <w:pStyle w:val="Bullets"/>
        <w:ind w:left="567" w:hanging="567"/>
        <w:rPr>
          <w:rFonts w:ascii="Arial" w:hAnsi="Arial" w:cs="Arial"/>
        </w:rPr>
      </w:pPr>
      <w:r w:rsidRPr="00AE45C1">
        <w:rPr>
          <w:rFonts w:ascii="Arial" w:hAnsi="Arial" w:cs="Arial"/>
        </w:rPr>
        <w:t>Diagnosis made</w:t>
      </w:r>
    </w:p>
    <w:p w14:paraId="5891A7AC" w14:textId="013222CD" w:rsidR="00793047" w:rsidRPr="00AE45C1" w:rsidRDefault="00793047" w:rsidP="008D486E">
      <w:pPr>
        <w:pStyle w:val="Bullets"/>
        <w:ind w:left="567" w:hanging="567"/>
        <w:rPr>
          <w:rFonts w:ascii="Arial" w:hAnsi="Arial" w:cs="Arial"/>
        </w:rPr>
      </w:pPr>
      <w:r w:rsidRPr="00AE45C1">
        <w:rPr>
          <w:rFonts w:ascii="Arial" w:hAnsi="Arial" w:cs="Arial"/>
        </w:rPr>
        <w:t>Investigations conducted</w:t>
      </w:r>
    </w:p>
    <w:p w14:paraId="66DA4853" w14:textId="7B6DBDB4" w:rsidR="00793047" w:rsidRPr="00AE45C1" w:rsidRDefault="00793047" w:rsidP="008D486E">
      <w:pPr>
        <w:pStyle w:val="Bullets"/>
        <w:ind w:left="567" w:hanging="567"/>
        <w:rPr>
          <w:rFonts w:ascii="Arial" w:hAnsi="Arial" w:cs="Arial"/>
        </w:rPr>
      </w:pPr>
      <w:r w:rsidRPr="00AE45C1">
        <w:rPr>
          <w:rFonts w:ascii="Arial" w:hAnsi="Arial" w:cs="Arial"/>
        </w:rPr>
        <w:t>Procedures performed</w:t>
      </w:r>
    </w:p>
    <w:p w14:paraId="5F1585FF" w14:textId="3C139B2D" w:rsidR="00793047" w:rsidRPr="00AE45C1" w:rsidRDefault="00793047" w:rsidP="008D486E">
      <w:pPr>
        <w:pStyle w:val="Bullets"/>
        <w:ind w:left="567" w:hanging="567"/>
        <w:rPr>
          <w:rFonts w:ascii="Arial" w:hAnsi="Arial" w:cs="Arial"/>
        </w:rPr>
      </w:pPr>
      <w:r w:rsidRPr="00AE45C1">
        <w:rPr>
          <w:rFonts w:ascii="Arial" w:hAnsi="Arial" w:cs="Arial"/>
        </w:rPr>
        <w:t>Additional morbidities investigated/treated</w:t>
      </w:r>
    </w:p>
    <w:p w14:paraId="57C26C6A" w14:textId="5734EB3B" w:rsidR="00793047" w:rsidRPr="00AE45C1" w:rsidRDefault="00793047" w:rsidP="008D486E">
      <w:pPr>
        <w:pStyle w:val="Bullets"/>
        <w:ind w:left="567" w:hanging="567"/>
        <w:rPr>
          <w:rFonts w:ascii="Arial" w:hAnsi="Arial" w:cs="Arial"/>
        </w:rPr>
      </w:pPr>
      <w:r w:rsidRPr="00AE45C1">
        <w:rPr>
          <w:rFonts w:ascii="Arial" w:hAnsi="Arial" w:cs="Arial"/>
        </w:rPr>
        <w:t>Treatment instigated</w:t>
      </w:r>
    </w:p>
    <w:p w14:paraId="58C6041C" w14:textId="24312721" w:rsidR="00793047" w:rsidRPr="00AE45C1" w:rsidRDefault="00793047" w:rsidP="008D486E">
      <w:pPr>
        <w:pStyle w:val="Bullets"/>
        <w:ind w:left="567" w:hanging="567"/>
        <w:rPr>
          <w:rFonts w:ascii="Arial" w:hAnsi="Arial" w:cs="Arial"/>
        </w:rPr>
      </w:pPr>
      <w:r w:rsidRPr="00AE45C1">
        <w:rPr>
          <w:rFonts w:ascii="Arial" w:hAnsi="Arial" w:cs="Arial"/>
        </w:rPr>
        <w:t>Further treatment planned</w:t>
      </w:r>
    </w:p>
    <w:p w14:paraId="3F988BB3" w14:textId="0CB6D7A9" w:rsidR="00793047" w:rsidRPr="00AE45C1" w:rsidRDefault="00793047" w:rsidP="008D486E">
      <w:pPr>
        <w:pStyle w:val="Bullets"/>
        <w:ind w:left="567" w:hanging="567"/>
        <w:rPr>
          <w:rFonts w:ascii="Arial" w:hAnsi="Arial" w:cs="Arial"/>
        </w:rPr>
      </w:pPr>
      <w:r w:rsidRPr="00AE45C1">
        <w:rPr>
          <w:rFonts w:ascii="Arial" w:hAnsi="Arial" w:cs="Arial"/>
        </w:rPr>
        <w:t>Care required to be provided by original doctor</w:t>
      </w:r>
    </w:p>
    <w:p w14:paraId="5A343096" w14:textId="5D7C2A7C" w:rsidR="00793047" w:rsidRPr="00AE45C1" w:rsidRDefault="00793047" w:rsidP="008D486E">
      <w:pPr>
        <w:pStyle w:val="Bullets"/>
        <w:ind w:left="567" w:hanging="567"/>
        <w:rPr>
          <w:rFonts w:ascii="Arial" w:hAnsi="Arial" w:cs="Arial"/>
        </w:rPr>
      </w:pPr>
      <w:r w:rsidRPr="00AE45C1">
        <w:rPr>
          <w:rFonts w:ascii="Arial" w:hAnsi="Arial" w:cs="Arial"/>
        </w:rPr>
        <w:t>Planned follow-up</w:t>
      </w:r>
    </w:p>
    <w:p w14:paraId="1F38CD2D" w14:textId="7F76CACF" w:rsidR="00793047" w:rsidRPr="00AE45C1" w:rsidRDefault="00793047" w:rsidP="008D486E">
      <w:pPr>
        <w:pStyle w:val="Bullets"/>
        <w:ind w:left="567" w:hanging="567"/>
        <w:rPr>
          <w:rFonts w:ascii="Arial" w:hAnsi="Arial" w:cs="Arial"/>
        </w:rPr>
      </w:pPr>
      <w:r w:rsidRPr="00AE45C1">
        <w:rPr>
          <w:rFonts w:ascii="Arial" w:hAnsi="Arial" w:cs="Arial"/>
        </w:rPr>
        <w:t>Forecasting results still to be received and who is to follow them up</w:t>
      </w:r>
    </w:p>
    <w:p w14:paraId="6123F34A" w14:textId="0B4F5965" w:rsidR="00793047" w:rsidRPr="00AE45C1" w:rsidRDefault="00793047" w:rsidP="008D486E">
      <w:pPr>
        <w:pStyle w:val="Bullets"/>
        <w:ind w:left="567" w:hanging="567"/>
        <w:rPr>
          <w:rFonts w:ascii="Arial" w:hAnsi="Arial" w:cs="Arial"/>
        </w:rPr>
      </w:pPr>
      <w:r w:rsidRPr="00AE45C1">
        <w:rPr>
          <w:rFonts w:ascii="Arial" w:hAnsi="Arial" w:cs="Arial"/>
        </w:rPr>
        <w:t>Discharge medications</w:t>
      </w:r>
    </w:p>
    <w:p w14:paraId="3B3943B6" w14:textId="7E252445" w:rsidR="00793047" w:rsidRPr="00AE45C1" w:rsidRDefault="00793047" w:rsidP="008D486E">
      <w:pPr>
        <w:pStyle w:val="Bullets"/>
        <w:ind w:left="567" w:hanging="567"/>
        <w:rPr>
          <w:rFonts w:ascii="Arial" w:hAnsi="Arial" w:cs="Arial"/>
        </w:rPr>
      </w:pPr>
      <w:r w:rsidRPr="00AE45C1">
        <w:rPr>
          <w:rFonts w:ascii="Arial" w:hAnsi="Arial" w:cs="Arial"/>
        </w:rPr>
        <w:t>Information provided to the patient about the condition, the extent of your involvement and follow-up</w:t>
      </w:r>
    </w:p>
    <w:p w14:paraId="2FEE10A3" w14:textId="77777777" w:rsidR="00793047" w:rsidRPr="00DA4303" w:rsidRDefault="00793047" w:rsidP="00CB4F8A">
      <w:pPr>
        <w:pStyle w:val="HHLBodyText"/>
        <w:spacing w:before="240"/>
        <w:rPr>
          <w:i/>
        </w:rPr>
      </w:pPr>
      <w:r w:rsidRPr="00DA4303">
        <w:rPr>
          <w:i/>
        </w:rPr>
        <w:t>Summary patient record</w:t>
      </w:r>
    </w:p>
    <w:p w14:paraId="5B00FAA8" w14:textId="77777777" w:rsidR="00793047" w:rsidRPr="00924196" w:rsidRDefault="00793047" w:rsidP="006309E8">
      <w:pPr>
        <w:spacing w:after="120"/>
        <w:rPr>
          <w:color w:val="auto"/>
          <w:sz w:val="22"/>
          <w:szCs w:val="22"/>
        </w:rPr>
      </w:pPr>
      <w:r w:rsidRPr="00924196">
        <w:rPr>
          <w:color w:val="auto"/>
          <w:sz w:val="22"/>
          <w:szCs w:val="22"/>
        </w:rPr>
        <w:t>Your practice should use a summary patient record to facilitate continuity of care between health providers.</w:t>
      </w:r>
    </w:p>
    <w:p w14:paraId="4F9CD6C6" w14:textId="77777777" w:rsidR="00793047" w:rsidRPr="00924196" w:rsidRDefault="00793047" w:rsidP="006309E8">
      <w:pPr>
        <w:spacing w:after="120"/>
        <w:rPr>
          <w:color w:val="auto"/>
          <w:sz w:val="22"/>
          <w:szCs w:val="22"/>
        </w:rPr>
      </w:pPr>
      <w:r w:rsidRPr="00924196">
        <w:rPr>
          <w:color w:val="auto"/>
          <w:sz w:val="22"/>
          <w:szCs w:val="22"/>
        </w:rPr>
        <w:t>The summary patient record is a copy of key information from the patient’s clinical record. It is not a full clinical record.</w:t>
      </w:r>
    </w:p>
    <w:p w14:paraId="4EE8384E" w14:textId="77777777" w:rsidR="00793047" w:rsidRPr="00924196" w:rsidRDefault="00793047" w:rsidP="006309E8">
      <w:pPr>
        <w:spacing w:after="120"/>
        <w:rPr>
          <w:color w:val="auto"/>
          <w:sz w:val="22"/>
          <w:szCs w:val="22"/>
        </w:rPr>
      </w:pPr>
      <w:r w:rsidRPr="00924196">
        <w:rPr>
          <w:color w:val="auto"/>
          <w:sz w:val="22"/>
          <w:szCs w:val="22"/>
        </w:rPr>
        <w:t>Some regions in New Zealand have electronic shared care records so that authorised medical services involved in a patient’s care can access up-to-date health information from your practice. The shared care record is available at any time, even if your medical centre is closed (for example, available to after-hours providers) or in the event of an emergency.</w:t>
      </w:r>
    </w:p>
    <w:p w14:paraId="3DC4E207" w14:textId="77777777" w:rsidR="00793047" w:rsidRPr="00924196" w:rsidRDefault="00793047" w:rsidP="006309E8">
      <w:pPr>
        <w:rPr>
          <w:color w:val="auto"/>
          <w:sz w:val="22"/>
          <w:szCs w:val="22"/>
        </w:rPr>
      </w:pPr>
      <w:r w:rsidRPr="00924196">
        <w:rPr>
          <w:color w:val="auto"/>
          <w:sz w:val="22"/>
          <w:szCs w:val="22"/>
        </w:rPr>
        <w:t>What appears in a summary patient record will differ between providers, but in general may include:</w:t>
      </w:r>
    </w:p>
    <w:p w14:paraId="451FEA47" w14:textId="77777777" w:rsidR="00793047" w:rsidRPr="002F634C" w:rsidRDefault="00793047" w:rsidP="008D486E">
      <w:pPr>
        <w:pStyle w:val="Bullets"/>
        <w:ind w:left="567" w:hanging="567"/>
        <w:rPr>
          <w:rFonts w:ascii="Arial" w:hAnsi="Arial" w:cs="Arial"/>
        </w:rPr>
      </w:pPr>
      <w:r w:rsidRPr="002F634C">
        <w:rPr>
          <w:rFonts w:ascii="Arial" w:hAnsi="Arial" w:cs="Arial"/>
        </w:rPr>
        <w:t>Medical condition(s)</w:t>
      </w:r>
    </w:p>
    <w:p w14:paraId="746B876C" w14:textId="77777777" w:rsidR="00793047" w:rsidRPr="002F634C" w:rsidRDefault="00793047" w:rsidP="008D486E">
      <w:pPr>
        <w:pStyle w:val="Bullets"/>
        <w:ind w:left="567" w:hanging="567"/>
        <w:rPr>
          <w:rFonts w:ascii="Arial" w:hAnsi="Arial" w:cs="Arial"/>
        </w:rPr>
      </w:pPr>
      <w:r w:rsidRPr="002F634C">
        <w:rPr>
          <w:rFonts w:ascii="Arial" w:hAnsi="Arial" w:cs="Arial"/>
        </w:rPr>
        <w:t>Recent or long-term illnesses</w:t>
      </w:r>
    </w:p>
    <w:p w14:paraId="5C372E12" w14:textId="77777777" w:rsidR="00793047" w:rsidRPr="002F634C" w:rsidRDefault="00793047" w:rsidP="008D486E">
      <w:pPr>
        <w:pStyle w:val="Bullets"/>
        <w:ind w:left="567" w:hanging="567"/>
        <w:rPr>
          <w:rFonts w:ascii="Arial" w:hAnsi="Arial" w:cs="Arial"/>
        </w:rPr>
      </w:pPr>
      <w:r w:rsidRPr="002F634C">
        <w:rPr>
          <w:rFonts w:ascii="Arial" w:hAnsi="Arial" w:cs="Arial"/>
        </w:rPr>
        <w:t>Surgeries</w:t>
      </w:r>
    </w:p>
    <w:p w14:paraId="4BEF61D9" w14:textId="77777777" w:rsidR="00793047" w:rsidRPr="002F634C" w:rsidRDefault="00793047" w:rsidP="008D486E">
      <w:pPr>
        <w:pStyle w:val="Bullets"/>
        <w:ind w:left="567" w:hanging="567"/>
        <w:rPr>
          <w:rFonts w:ascii="Arial" w:hAnsi="Arial" w:cs="Arial"/>
        </w:rPr>
      </w:pPr>
      <w:r w:rsidRPr="002F634C">
        <w:rPr>
          <w:rFonts w:ascii="Arial" w:hAnsi="Arial" w:cs="Arial"/>
        </w:rPr>
        <w:t>Medications</w:t>
      </w:r>
    </w:p>
    <w:p w14:paraId="39899E98" w14:textId="77777777" w:rsidR="00793047" w:rsidRPr="002F634C" w:rsidRDefault="00793047" w:rsidP="008D486E">
      <w:pPr>
        <w:pStyle w:val="Bullets"/>
        <w:ind w:left="567" w:hanging="567"/>
        <w:rPr>
          <w:rFonts w:ascii="Arial" w:hAnsi="Arial" w:cs="Arial"/>
        </w:rPr>
      </w:pPr>
      <w:r w:rsidRPr="002F634C">
        <w:rPr>
          <w:rFonts w:ascii="Arial" w:hAnsi="Arial" w:cs="Arial"/>
        </w:rPr>
        <w:t>Allergies</w:t>
      </w:r>
    </w:p>
    <w:p w14:paraId="6F96021C" w14:textId="77777777" w:rsidR="00793047" w:rsidRPr="002F634C" w:rsidRDefault="00793047" w:rsidP="008D486E">
      <w:pPr>
        <w:pStyle w:val="Bullets"/>
        <w:ind w:left="567" w:hanging="567"/>
        <w:rPr>
          <w:rFonts w:ascii="Arial" w:hAnsi="Arial" w:cs="Arial"/>
        </w:rPr>
      </w:pPr>
      <w:r w:rsidRPr="002F634C">
        <w:rPr>
          <w:rFonts w:ascii="Arial" w:hAnsi="Arial" w:cs="Arial"/>
        </w:rPr>
        <w:t>Radiology results</w:t>
      </w:r>
    </w:p>
    <w:p w14:paraId="68DBE4A8" w14:textId="77777777" w:rsidR="00793047" w:rsidRPr="002F634C" w:rsidRDefault="00793047" w:rsidP="008D486E">
      <w:pPr>
        <w:pStyle w:val="Bullets"/>
        <w:ind w:left="567" w:hanging="567"/>
        <w:rPr>
          <w:rFonts w:ascii="Arial" w:hAnsi="Arial" w:cs="Arial"/>
        </w:rPr>
      </w:pPr>
      <w:r w:rsidRPr="002F634C">
        <w:rPr>
          <w:rFonts w:ascii="Arial" w:hAnsi="Arial" w:cs="Arial"/>
        </w:rPr>
        <w:t>Immunisations</w:t>
      </w:r>
    </w:p>
    <w:p w14:paraId="56DFDDDE" w14:textId="77777777" w:rsidR="00793047" w:rsidRPr="002F634C" w:rsidRDefault="00793047" w:rsidP="008D486E">
      <w:pPr>
        <w:pStyle w:val="Bullets"/>
        <w:ind w:left="567" w:hanging="567"/>
        <w:rPr>
          <w:rFonts w:ascii="Arial" w:hAnsi="Arial" w:cs="Arial"/>
        </w:rPr>
      </w:pPr>
      <w:r w:rsidRPr="002F634C">
        <w:rPr>
          <w:rFonts w:ascii="Arial" w:hAnsi="Arial" w:cs="Arial"/>
        </w:rPr>
        <w:t>Recalls</w:t>
      </w:r>
    </w:p>
    <w:p w14:paraId="654F6982" w14:textId="77777777" w:rsidR="00793047" w:rsidRPr="002F634C" w:rsidRDefault="00793047" w:rsidP="008D486E">
      <w:pPr>
        <w:pStyle w:val="Bullets"/>
        <w:ind w:left="567" w:hanging="567"/>
        <w:rPr>
          <w:rFonts w:ascii="Arial" w:hAnsi="Arial" w:cs="Arial"/>
        </w:rPr>
      </w:pPr>
      <w:r w:rsidRPr="002F634C">
        <w:rPr>
          <w:rFonts w:ascii="Arial" w:hAnsi="Arial" w:cs="Arial"/>
        </w:rPr>
        <w:t>Laboratory and test results</w:t>
      </w:r>
    </w:p>
    <w:p w14:paraId="328F9497" w14:textId="77777777" w:rsidR="00793047" w:rsidRPr="002F634C" w:rsidRDefault="00793047" w:rsidP="008D486E">
      <w:pPr>
        <w:pStyle w:val="Bullets"/>
        <w:ind w:left="567" w:hanging="567"/>
        <w:rPr>
          <w:rFonts w:ascii="Arial" w:hAnsi="Arial" w:cs="Arial"/>
        </w:rPr>
      </w:pPr>
      <w:r w:rsidRPr="002F634C">
        <w:rPr>
          <w:rFonts w:ascii="Arial" w:hAnsi="Arial" w:cs="Arial"/>
        </w:rPr>
        <w:t>Discharge summaries</w:t>
      </w:r>
    </w:p>
    <w:p w14:paraId="49444211" w14:textId="71ED6E30" w:rsidR="00793047" w:rsidRPr="002F634C" w:rsidRDefault="00793047" w:rsidP="008D486E">
      <w:pPr>
        <w:pStyle w:val="Bullets"/>
        <w:ind w:left="567" w:hanging="567"/>
        <w:rPr>
          <w:rFonts w:ascii="Arial" w:hAnsi="Arial" w:cs="Arial"/>
        </w:rPr>
      </w:pPr>
      <w:r w:rsidRPr="002F634C">
        <w:rPr>
          <w:rFonts w:ascii="Arial" w:hAnsi="Arial" w:cs="Arial"/>
        </w:rPr>
        <w:t>Information about home care visits</w:t>
      </w:r>
    </w:p>
    <w:p w14:paraId="15FE936F" w14:textId="77777777" w:rsidR="00FC67D4" w:rsidRDefault="00FC67D4" w:rsidP="008D486E">
      <w:pPr>
        <w:pStyle w:val="HHLBodyText"/>
        <w:spacing w:before="180" w:after="60"/>
        <w:rPr>
          <w:i/>
        </w:rPr>
      </w:pPr>
      <w:r>
        <w:rPr>
          <w:i/>
        </w:rPr>
        <w:t>Give patients the option to see their preferred clinician(s).</w:t>
      </w:r>
    </w:p>
    <w:p w14:paraId="626AD6A6" w14:textId="46A16159" w:rsidR="00FC67D4" w:rsidRPr="00FC67D4" w:rsidRDefault="00FC67D4" w:rsidP="00FC67D4">
      <w:pPr>
        <w:rPr>
          <w:color w:val="auto"/>
          <w:sz w:val="22"/>
          <w:szCs w:val="22"/>
        </w:rPr>
      </w:pPr>
      <w:r w:rsidRPr="00FC67D4">
        <w:rPr>
          <w:color w:val="auto"/>
          <w:sz w:val="22"/>
          <w:szCs w:val="22"/>
        </w:rPr>
        <w:t xml:space="preserve">When a patient makes an appointment with the practice they must be offered an option to choose the </w:t>
      </w:r>
      <w:r w:rsidR="00856407" w:rsidRPr="00FC67D4">
        <w:rPr>
          <w:color w:val="auto"/>
          <w:sz w:val="22"/>
          <w:szCs w:val="22"/>
        </w:rPr>
        <w:t>clinician</w:t>
      </w:r>
      <w:r w:rsidRPr="00FC67D4">
        <w:rPr>
          <w:color w:val="auto"/>
          <w:sz w:val="22"/>
          <w:szCs w:val="22"/>
        </w:rPr>
        <w:t xml:space="preserve"> they prefer, with </w:t>
      </w:r>
      <w:r w:rsidR="00856407" w:rsidRPr="00FC67D4">
        <w:rPr>
          <w:color w:val="auto"/>
          <w:sz w:val="22"/>
          <w:szCs w:val="22"/>
        </w:rPr>
        <w:t>information</w:t>
      </w:r>
      <w:r w:rsidRPr="00FC67D4">
        <w:rPr>
          <w:color w:val="auto"/>
          <w:sz w:val="22"/>
          <w:szCs w:val="22"/>
        </w:rPr>
        <w:t xml:space="preserve"> as to likely time frame of this option verse other available clinician. </w:t>
      </w:r>
    </w:p>
    <w:p w14:paraId="12C305B4" w14:textId="77777777" w:rsidR="00A81435" w:rsidRPr="00A81435" w:rsidRDefault="00A81435" w:rsidP="008D486E">
      <w:pPr>
        <w:spacing w:before="180" w:after="0"/>
        <w:rPr>
          <w:b/>
          <w:color w:val="auto"/>
          <w:sz w:val="22"/>
          <w:szCs w:val="22"/>
        </w:rPr>
      </w:pPr>
      <w:r w:rsidRPr="00A81435">
        <w:rPr>
          <w:b/>
          <w:color w:val="auto"/>
          <w:sz w:val="22"/>
          <w:szCs w:val="22"/>
        </w:rPr>
        <w:t>Resources</w:t>
      </w:r>
    </w:p>
    <w:p w14:paraId="23BFE343" w14:textId="27BBA8C0" w:rsidR="00793047" w:rsidRPr="00950028" w:rsidRDefault="00CF1416" w:rsidP="008D486E">
      <w:pPr>
        <w:pStyle w:val="Resourcelist"/>
        <w:spacing w:after="0"/>
        <w:rPr>
          <w:rStyle w:val="Hyperlink"/>
          <w:rFonts w:ascii="Arial" w:hAnsi="Arial" w:cs="Arial"/>
          <w:color w:val="0000FF"/>
        </w:rPr>
      </w:pPr>
      <w:hyperlink r:id="rId122" w:history="1">
        <w:r w:rsidR="00793047" w:rsidRPr="00950028">
          <w:rPr>
            <w:rStyle w:val="Hyperlink"/>
            <w:rFonts w:ascii="Arial" w:hAnsi="Arial" w:cs="Arial"/>
            <w:color w:val="0000FF"/>
          </w:rPr>
          <w:t>MPS Transfer of health information between healthcare professionals</w:t>
        </w:r>
      </w:hyperlink>
    </w:p>
    <w:p w14:paraId="137E545D" w14:textId="77777777" w:rsidR="00793047" w:rsidRPr="00950028" w:rsidRDefault="00CF1416" w:rsidP="008D486E">
      <w:pPr>
        <w:pStyle w:val="Resourcelist"/>
        <w:spacing w:after="0"/>
        <w:rPr>
          <w:rStyle w:val="Hyperlink"/>
          <w:rFonts w:ascii="Arial" w:hAnsi="Arial" w:cs="Arial"/>
          <w:color w:val="0000FF"/>
        </w:rPr>
      </w:pPr>
      <w:hyperlink r:id="rId123" w:history="1">
        <w:r w:rsidR="00793047" w:rsidRPr="00950028">
          <w:rPr>
            <w:rStyle w:val="Hyperlink"/>
            <w:rFonts w:ascii="Arial" w:hAnsi="Arial" w:cs="Arial"/>
            <w:color w:val="0000FF"/>
          </w:rPr>
          <w:t>MCNZ: Good medical practice</w:t>
        </w:r>
      </w:hyperlink>
    </w:p>
    <w:p w14:paraId="70773126" w14:textId="0A8C72F9" w:rsidR="00793047" w:rsidRPr="00950028" w:rsidRDefault="00CF1416" w:rsidP="008D486E">
      <w:pPr>
        <w:pStyle w:val="Resourcelist"/>
        <w:spacing w:after="0"/>
        <w:rPr>
          <w:rFonts w:ascii="Arial" w:hAnsi="Arial" w:cs="Arial"/>
          <w:color w:val="0000FF"/>
        </w:rPr>
      </w:pPr>
      <w:hyperlink r:id="rId124" w:history="1">
        <w:r w:rsidR="00793047" w:rsidRPr="00950028">
          <w:rPr>
            <w:rStyle w:val="Hyperlink"/>
            <w:rFonts w:ascii="Arial" w:hAnsi="Arial" w:cs="Arial"/>
            <w:color w:val="0000FF"/>
          </w:rPr>
          <w:t>RNZCGP Policy Brief: Managing patient test results</w:t>
        </w:r>
      </w:hyperlink>
    </w:p>
    <w:p w14:paraId="7FACC2E0" w14:textId="23C8F5A7" w:rsidR="000E51A1" w:rsidRPr="00C55F31" w:rsidRDefault="00AA0501" w:rsidP="008D486E">
      <w:pPr>
        <w:pStyle w:val="HHLSubHeading"/>
        <w:numPr>
          <w:ilvl w:val="0"/>
          <w:numId w:val="0"/>
        </w:numPr>
        <w:tabs>
          <w:tab w:val="left" w:pos="1560"/>
        </w:tabs>
      </w:pPr>
      <w:r>
        <w:rPr>
          <w:b w:val="0"/>
          <w:sz w:val="28"/>
        </w:rPr>
        <w:br w:type="page"/>
      </w:r>
      <w:bookmarkStart w:id="53" w:name="_Toc6998674"/>
      <w:r w:rsidR="009D0BD2" w:rsidRPr="00C55F31">
        <w:lastRenderedPageBreak/>
        <w:t>Indicator 1</w:t>
      </w:r>
      <w:r w:rsidR="007571E6">
        <w:t>5</w:t>
      </w:r>
      <w:r w:rsidR="009D0BD2" w:rsidRPr="00C55F31">
        <w:t>.</w:t>
      </w:r>
      <w:r w:rsidR="008D486E">
        <w:tab/>
      </w:r>
      <w:r w:rsidR="006A438E">
        <w:t>Res</w:t>
      </w:r>
      <w:r w:rsidR="006E6438">
        <w:t>p</w:t>
      </w:r>
      <w:r w:rsidR="006A438E">
        <w:t>onsiveness to u</w:t>
      </w:r>
      <w:r w:rsidR="000E51A1" w:rsidRPr="00C55F31">
        <w:t>rgent health needs</w:t>
      </w:r>
      <w:bookmarkEnd w:id="53"/>
    </w:p>
    <w:p w14:paraId="15D11825" w14:textId="4F836B00" w:rsidR="009D0BD2" w:rsidRPr="000E51A1" w:rsidRDefault="009D0BD2" w:rsidP="000E51A1">
      <w:pPr>
        <w:pStyle w:val="HHLBodyText"/>
        <w:rPr>
          <w:b/>
        </w:rPr>
      </w:pPr>
      <w:r w:rsidRPr="000E51A1">
        <w:rPr>
          <w:b/>
        </w:rPr>
        <w:t>Our practice</w:t>
      </w:r>
      <w:r w:rsidR="00B21354" w:rsidRPr="000E51A1">
        <w:rPr>
          <w:b/>
        </w:rPr>
        <w:t xml:space="preserve"> team identifies and responds to urgent health needs</w:t>
      </w:r>
      <w:r w:rsidRPr="000E51A1">
        <w:rPr>
          <w:b/>
        </w:rPr>
        <w:t>.</w:t>
      </w:r>
    </w:p>
    <w:tbl>
      <w:tblPr>
        <w:tblStyle w:val="TableGrid1"/>
        <w:tblW w:w="0" w:type="auto"/>
        <w:tblLook w:val="04A0" w:firstRow="1" w:lastRow="0" w:firstColumn="1" w:lastColumn="0" w:noHBand="0" w:noVBand="1"/>
      </w:tblPr>
      <w:tblGrid>
        <w:gridCol w:w="1152"/>
        <w:gridCol w:w="4539"/>
        <w:gridCol w:w="4051"/>
      </w:tblGrid>
      <w:tr w:rsidR="009D0BD2" w:rsidRPr="00A81435" w14:paraId="0F189050" w14:textId="77777777" w:rsidTr="008C2DB7">
        <w:tc>
          <w:tcPr>
            <w:tcW w:w="1153" w:type="dxa"/>
            <w:shd w:val="clear" w:color="auto" w:fill="FBD4B4" w:themeFill="accent6" w:themeFillTint="66"/>
          </w:tcPr>
          <w:p w14:paraId="1197F4BF" w14:textId="77777777" w:rsidR="009D0BD2" w:rsidRPr="00A81435" w:rsidRDefault="009D0BD2" w:rsidP="008C2DB7">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0D950ACC" w14:textId="77777777" w:rsidR="009D0BD2" w:rsidRPr="00A81435" w:rsidRDefault="009D0BD2" w:rsidP="008C2DB7">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29CBEB8F" w14:textId="60C9DF87" w:rsidR="009D0BD2" w:rsidRPr="00A81435" w:rsidRDefault="009D0BD2" w:rsidP="008C2DB7">
            <w:pPr>
              <w:spacing w:before="120" w:after="120"/>
              <w:rPr>
                <w:b/>
                <w:color w:val="auto"/>
                <w:sz w:val="22"/>
                <w:szCs w:val="22"/>
              </w:rPr>
            </w:pPr>
            <w:r w:rsidRPr="00A81435">
              <w:rPr>
                <w:b/>
                <w:color w:val="auto"/>
                <w:sz w:val="22"/>
                <w:szCs w:val="22"/>
              </w:rPr>
              <w:t>Required evidence</w:t>
            </w:r>
          </w:p>
        </w:tc>
      </w:tr>
      <w:tr w:rsidR="009D0BD2" w:rsidRPr="00A81435" w14:paraId="41204E28" w14:textId="77777777" w:rsidTr="008C2DB7">
        <w:tc>
          <w:tcPr>
            <w:tcW w:w="1153" w:type="dxa"/>
          </w:tcPr>
          <w:p w14:paraId="3C650BDA" w14:textId="5F75ACD8" w:rsidR="009D0BD2" w:rsidRPr="00A81435" w:rsidRDefault="009D0BD2" w:rsidP="008C2DB7">
            <w:pPr>
              <w:spacing w:before="60"/>
              <w:rPr>
                <w:color w:val="auto"/>
                <w:sz w:val="22"/>
                <w:szCs w:val="22"/>
              </w:rPr>
            </w:pPr>
            <w:r w:rsidRPr="00A81435">
              <w:rPr>
                <w:color w:val="auto"/>
                <w:sz w:val="22"/>
                <w:szCs w:val="22"/>
              </w:rPr>
              <w:t>1</w:t>
            </w:r>
            <w:r w:rsidR="007571E6">
              <w:rPr>
                <w:color w:val="auto"/>
                <w:sz w:val="22"/>
                <w:szCs w:val="22"/>
              </w:rPr>
              <w:t>5</w:t>
            </w:r>
            <w:r w:rsidRPr="00A81435">
              <w:rPr>
                <w:color w:val="auto"/>
                <w:sz w:val="22"/>
                <w:szCs w:val="22"/>
              </w:rPr>
              <w:t>.1</w:t>
            </w:r>
          </w:p>
        </w:tc>
        <w:tc>
          <w:tcPr>
            <w:tcW w:w="4568" w:type="dxa"/>
          </w:tcPr>
          <w:p w14:paraId="770650B6" w14:textId="4F2D8B61" w:rsidR="009D0BD2" w:rsidRPr="00A81435" w:rsidRDefault="00B21354" w:rsidP="008C2DB7">
            <w:pPr>
              <w:spacing w:before="60"/>
              <w:rPr>
                <w:rFonts w:cs="Arial"/>
                <w:color w:val="auto"/>
                <w:sz w:val="22"/>
                <w:szCs w:val="22"/>
              </w:rPr>
            </w:pPr>
            <w:r w:rsidRPr="00B21354">
              <w:rPr>
                <w:rFonts w:cs="Arial"/>
                <w:color w:val="auto"/>
                <w:sz w:val="22"/>
                <w:szCs w:val="22"/>
              </w:rPr>
              <w:t>Train non</w:t>
            </w:r>
            <w:r w:rsidR="00F064B2">
              <w:rPr>
                <w:rFonts w:cs="Arial"/>
                <w:color w:val="auto"/>
                <w:sz w:val="22"/>
                <w:szCs w:val="22"/>
              </w:rPr>
              <w:t xml:space="preserve"> </w:t>
            </w:r>
            <w:r w:rsidRPr="00B21354">
              <w:rPr>
                <w:rFonts w:cs="Arial"/>
                <w:color w:val="auto"/>
                <w:sz w:val="22"/>
                <w:szCs w:val="22"/>
              </w:rPr>
              <w:t xml:space="preserve">clinical team </w:t>
            </w:r>
            <w:r w:rsidR="00105C48" w:rsidRPr="00B21354">
              <w:rPr>
                <w:rFonts w:cs="Arial"/>
                <w:color w:val="auto"/>
                <w:sz w:val="22"/>
                <w:szCs w:val="22"/>
              </w:rPr>
              <w:t>members</w:t>
            </w:r>
            <w:r w:rsidRPr="00B21354">
              <w:rPr>
                <w:rFonts w:cs="Arial"/>
                <w:color w:val="auto"/>
                <w:sz w:val="22"/>
                <w:szCs w:val="22"/>
              </w:rPr>
              <w:t xml:space="preserve"> to identify and respond to patients with urgent medical conditions.</w:t>
            </w:r>
          </w:p>
        </w:tc>
        <w:tc>
          <w:tcPr>
            <w:tcW w:w="4075" w:type="dxa"/>
          </w:tcPr>
          <w:p w14:paraId="1153D8F5" w14:textId="77777777" w:rsidR="00B01666" w:rsidRPr="00F628F5" w:rsidRDefault="00B01666" w:rsidP="00B01666">
            <w:pPr>
              <w:spacing w:before="60"/>
              <w:rPr>
                <w:color w:val="auto"/>
                <w:sz w:val="22"/>
                <w:szCs w:val="22"/>
              </w:rPr>
            </w:pPr>
            <w:r w:rsidRPr="00F628F5">
              <w:rPr>
                <w:color w:val="auto"/>
                <w:sz w:val="22"/>
                <w:szCs w:val="22"/>
              </w:rPr>
              <w:t>Staff training records</w:t>
            </w:r>
            <w:r>
              <w:rPr>
                <w:color w:val="auto"/>
                <w:sz w:val="22"/>
                <w:szCs w:val="22"/>
              </w:rPr>
              <w:t xml:space="preserve"> of completion of the required training.</w:t>
            </w:r>
          </w:p>
          <w:p w14:paraId="48535CEA" w14:textId="1FD389A2" w:rsidR="009D0BD2" w:rsidRPr="00A81435" w:rsidRDefault="009D0BD2" w:rsidP="008C2DB7">
            <w:pPr>
              <w:spacing w:before="60"/>
              <w:rPr>
                <w:color w:val="auto"/>
                <w:sz w:val="22"/>
                <w:szCs w:val="22"/>
              </w:rPr>
            </w:pPr>
          </w:p>
        </w:tc>
      </w:tr>
      <w:tr w:rsidR="009D0BD2" w:rsidRPr="00A81435" w14:paraId="3A3B66C1" w14:textId="77777777" w:rsidTr="008C2DB7">
        <w:tc>
          <w:tcPr>
            <w:tcW w:w="1153" w:type="dxa"/>
          </w:tcPr>
          <w:p w14:paraId="0F632382" w14:textId="57F9AF16" w:rsidR="009D0BD2" w:rsidRPr="00B21354" w:rsidRDefault="009D0BD2" w:rsidP="008C2DB7">
            <w:pPr>
              <w:spacing w:before="60"/>
              <w:rPr>
                <w:color w:val="auto"/>
                <w:sz w:val="22"/>
                <w:szCs w:val="22"/>
              </w:rPr>
            </w:pPr>
            <w:r w:rsidRPr="00B21354">
              <w:rPr>
                <w:color w:val="auto"/>
                <w:sz w:val="22"/>
                <w:szCs w:val="22"/>
              </w:rPr>
              <w:t>1</w:t>
            </w:r>
            <w:r w:rsidR="007571E6">
              <w:rPr>
                <w:color w:val="auto"/>
                <w:sz w:val="22"/>
                <w:szCs w:val="22"/>
              </w:rPr>
              <w:t>5</w:t>
            </w:r>
            <w:r w:rsidRPr="00B21354">
              <w:rPr>
                <w:color w:val="auto"/>
                <w:sz w:val="22"/>
                <w:szCs w:val="22"/>
              </w:rPr>
              <w:t>.2</w:t>
            </w:r>
          </w:p>
        </w:tc>
        <w:tc>
          <w:tcPr>
            <w:tcW w:w="4568" w:type="dxa"/>
          </w:tcPr>
          <w:p w14:paraId="21EF1E52" w14:textId="3A4D3F58" w:rsidR="009D0BD2" w:rsidRPr="00B21354" w:rsidRDefault="00B21354" w:rsidP="008C2DB7">
            <w:pPr>
              <w:spacing w:before="60"/>
              <w:rPr>
                <w:rFonts w:cs="Arial"/>
                <w:color w:val="auto"/>
                <w:sz w:val="22"/>
                <w:szCs w:val="22"/>
              </w:rPr>
            </w:pPr>
            <w:r w:rsidRPr="00B21354">
              <w:rPr>
                <w:rFonts w:cs="Arial"/>
                <w:color w:val="auto"/>
                <w:sz w:val="22"/>
                <w:szCs w:val="22"/>
              </w:rPr>
              <w:t>Ensure that team members who may be required to administer CPR have current certification to an appropriate level from certified trainers</w:t>
            </w:r>
            <w:r w:rsidR="005F36D5">
              <w:rPr>
                <w:rFonts w:cs="Arial"/>
                <w:color w:val="auto"/>
                <w:sz w:val="22"/>
                <w:szCs w:val="22"/>
              </w:rPr>
              <w:t>.</w:t>
            </w:r>
          </w:p>
        </w:tc>
        <w:tc>
          <w:tcPr>
            <w:tcW w:w="4075" w:type="dxa"/>
          </w:tcPr>
          <w:p w14:paraId="14A1A3BB" w14:textId="4083D68E" w:rsidR="00B21354" w:rsidRPr="00B21354" w:rsidRDefault="00B21354" w:rsidP="00B21354">
            <w:pPr>
              <w:pStyle w:val="TableCellBULLETSredTables"/>
              <w:numPr>
                <w:ilvl w:val="0"/>
                <w:numId w:val="0"/>
              </w:numPr>
              <w:tabs>
                <w:tab w:val="clear" w:pos="284"/>
                <w:tab w:val="left" w:pos="1"/>
              </w:tabs>
              <w:spacing w:before="60" w:after="60"/>
              <w:rPr>
                <w:rFonts w:ascii="Arial" w:hAnsi="Arial" w:cs="Arial"/>
                <w:color w:val="auto"/>
                <w:szCs w:val="22"/>
              </w:rPr>
            </w:pPr>
            <w:r w:rsidRPr="00B21354">
              <w:rPr>
                <w:rFonts w:ascii="Arial" w:hAnsi="Arial" w:cs="Arial"/>
                <w:color w:val="auto"/>
                <w:szCs w:val="22"/>
              </w:rPr>
              <w:t>CPR Certificates</w:t>
            </w:r>
            <w:r w:rsidR="005F36D5">
              <w:rPr>
                <w:rFonts w:ascii="Arial" w:hAnsi="Arial" w:cs="Arial"/>
                <w:color w:val="auto"/>
                <w:szCs w:val="22"/>
              </w:rPr>
              <w:t>.</w:t>
            </w:r>
          </w:p>
          <w:p w14:paraId="6D6AEE0D" w14:textId="4BC4F8D5" w:rsidR="009D0BD2" w:rsidRPr="00B21354" w:rsidRDefault="009D0BD2" w:rsidP="008C2DB7">
            <w:pPr>
              <w:spacing w:before="60"/>
              <w:rPr>
                <w:color w:val="auto"/>
                <w:sz w:val="22"/>
                <w:szCs w:val="22"/>
              </w:rPr>
            </w:pPr>
          </w:p>
        </w:tc>
      </w:tr>
      <w:tr w:rsidR="009D0BD2" w:rsidRPr="00A81435" w14:paraId="248C8DE5" w14:textId="77777777" w:rsidTr="008C2DB7">
        <w:tc>
          <w:tcPr>
            <w:tcW w:w="1153" w:type="dxa"/>
          </w:tcPr>
          <w:p w14:paraId="13E1C1AC" w14:textId="512CE4E2" w:rsidR="009D0BD2" w:rsidRPr="00B21354" w:rsidRDefault="009D0BD2" w:rsidP="008C2DB7">
            <w:pPr>
              <w:spacing w:before="60"/>
              <w:rPr>
                <w:color w:val="auto"/>
                <w:sz w:val="22"/>
                <w:szCs w:val="22"/>
              </w:rPr>
            </w:pPr>
            <w:r w:rsidRPr="00B21354">
              <w:rPr>
                <w:color w:val="auto"/>
                <w:sz w:val="22"/>
                <w:szCs w:val="22"/>
              </w:rPr>
              <w:t>1</w:t>
            </w:r>
            <w:r w:rsidR="007571E6">
              <w:rPr>
                <w:color w:val="auto"/>
                <w:sz w:val="22"/>
                <w:szCs w:val="22"/>
              </w:rPr>
              <w:t>5</w:t>
            </w:r>
            <w:r w:rsidRPr="00B21354">
              <w:rPr>
                <w:color w:val="auto"/>
                <w:sz w:val="22"/>
                <w:szCs w:val="22"/>
              </w:rPr>
              <w:t>.3</w:t>
            </w:r>
          </w:p>
        </w:tc>
        <w:tc>
          <w:tcPr>
            <w:tcW w:w="4568" w:type="dxa"/>
          </w:tcPr>
          <w:p w14:paraId="56CFA8DE" w14:textId="55859DAD" w:rsidR="009D0BD2" w:rsidRPr="00B21354" w:rsidRDefault="00B21354" w:rsidP="008C2DB7">
            <w:pPr>
              <w:spacing w:before="60"/>
              <w:rPr>
                <w:rFonts w:cs="Arial"/>
                <w:color w:val="auto"/>
                <w:sz w:val="22"/>
                <w:szCs w:val="22"/>
              </w:rPr>
            </w:pPr>
            <w:r w:rsidRPr="00B21354">
              <w:rPr>
                <w:rFonts w:cs="Arial"/>
                <w:color w:val="auto"/>
                <w:sz w:val="22"/>
                <w:szCs w:val="22"/>
              </w:rPr>
              <w:t>Display signage for waiting patients detailing urgent situations</w:t>
            </w:r>
            <w:r w:rsidR="005009F5">
              <w:rPr>
                <w:rFonts w:cs="Arial"/>
                <w:color w:val="auto"/>
                <w:sz w:val="22"/>
                <w:szCs w:val="22"/>
              </w:rPr>
              <w:t xml:space="preserve"> and ensure </w:t>
            </w:r>
            <w:r w:rsidR="005009F5" w:rsidRPr="005009F5">
              <w:rPr>
                <w:color w:val="auto"/>
                <w:sz w:val="22"/>
                <w:szCs w:val="22"/>
                <w:lang w:val="en-NZ"/>
              </w:rPr>
              <w:t>reception staff can visually monitor all waiting areas.</w:t>
            </w:r>
          </w:p>
        </w:tc>
        <w:tc>
          <w:tcPr>
            <w:tcW w:w="4075" w:type="dxa"/>
          </w:tcPr>
          <w:p w14:paraId="778E2E21" w14:textId="43FC8CB2" w:rsidR="009D0BD2" w:rsidRPr="00B21354" w:rsidRDefault="00C559D1" w:rsidP="008C2DB7">
            <w:pPr>
              <w:spacing w:before="60"/>
              <w:rPr>
                <w:color w:val="auto"/>
                <w:sz w:val="22"/>
                <w:szCs w:val="22"/>
              </w:rPr>
            </w:pPr>
            <w:r>
              <w:rPr>
                <w:color w:val="auto"/>
                <w:sz w:val="22"/>
                <w:szCs w:val="22"/>
              </w:rPr>
              <w:t>Signage</w:t>
            </w:r>
            <w:r w:rsidR="005009F5">
              <w:rPr>
                <w:color w:val="auto"/>
                <w:sz w:val="22"/>
                <w:szCs w:val="22"/>
              </w:rPr>
              <w:t xml:space="preserve"> and</w:t>
            </w:r>
            <w:r w:rsidR="003D2A73">
              <w:rPr>
                <w:color w:val="auto"/>
                <w:sz w:val="22"/>
                <w:szCs w:val="22"/>
              </w:rPr>
              <w:t xml:space="preserve"> staff training undertaken to monitor waiting areas</w:t>
            </w:r>
            <w:r w:rsidR="005009F5">
              <w:rPr>
                <w:color w:val="auto"/>
                <w:sz w:val="22"/>
                <w:szCs w:val="22"/>
              </w:rPr>
              <w:t>.</w:t>
            </w:r>
          </w:p>
        </w:tc>
      </w:tr>
      <w:tr w:rsidR="009D0BD2" w:rsidRPr="00A81435" w14:paraId="2EEE0B30" w14:textId="77777777" w:rsidTr="008C2DB7">
        <w:tc>
          <w:tcPr>
            <w:tcW w:w="1153" w:type="dxa"/>
          </w:tcPr>
          <w:p w14:paraId="3F2C3EDE" w14:textId="6A1F691B" w:rsidR="009D0BD2" w:rsidRPr="00B21354" w:rsidRDefault="009D0BD2" w:rsidP="008C2DB7">
            <w:pPr>
              <w:spacing w:before="60"/>
              <w:rPr>
                <w:color w:val="auto"/>
                <w:sz w:val="22"/>
                <w:szCs w:val="22"/>
              </w:rPr>
            </w:pPr>
            <w:r w:rsidRPr="00B21354">
              <w:rPr>
                <w:color w:val="auto"/>
                <w:sz w:val="22"/>
                <w:szCs w:val="22"/>
              </w:rPr>
              <w:t>1</w:t>
            </w:r>
            <w:r w:rsidR="007571E6">
              <w:rPr>
                <w:color w:val="auto"/>
                <w:sz w:val="22"/>
                <w:szCs w:val="22"/>
              </w:rPr>
              <w:t>5</w:t>
            </w:r>
            <w:r w:rsidRPr="00B21354">
              <w:rPr>
                <w:color w:val="auto"/>
                <w:sz w:val="22"/>
                <w:szCs w:val="22"/>
              </w:rPr>
              <w:t>.4</w:t>
            </w:r>
          </w:p>
        </w:tc>
        <w:tc>
          <w:tcPr>
            <w:tcW w:w="4568" w:type="dxa"/>
          </w:tcPr>
          <w:p w14:paraId="1F7498BA" w14:textId="17C6CB68" w:rsidR="009D0BD2" w:rsidRPr="00B21354" w:rsidRDefault="00A9739B" w:rsidP="008C2DB7">
            <w:pPr>
              <w:spacing w:before="60"/>
              <w:rPr>
                <w:rFonts w:cs="Arial"/>
                <w:color w:val="auto"/>
                <w:sz w:val="22"/>
                <w:szCs w:val="22"/>
              </w:rPr>
            </w:pPr>
            <w:r>
              <w:rPr>
                <w:rFonts w:cs="Arial"/>
                <w:color w:val="auto"/>
                <w:sz w:val="22"/>
                <w:szCs w:val="22"/>
              </w:rPr>
              <w:t>Conduct</w:t>
            </w:r>
            <w:r w:rsidRPr="00B21354">
              <w:rPr>
                <w:rFonts w:cs="Arial"/>
                <w:color w:val="auto"/>
                <w:sz w:val="22"/>
                <w:szCs w:val="22"/>
              </w:rPr>
              <w:t xml:space="preserve"> </w:t>
            </w:r>
            <w:r w:rsidR="00B21354" w:rsidRPr="00B21354">
              <w:rPr>
                <w:rFonts w:cs="Arial"/>
                <w:color w:val="auto"/>
                <w:sz w:val="22"/>
                <w:szCs w:val="22"/>
              </w:rPr>
              <w:t>annual clinical emergency scenario</w:t>
            </w:r>
            <w:r w:rsidR="003D2A73">
              <w:rPr>
                <w:rFonts w:cs="Arial"/>
                <w:color w:val="auto"/>
                <w:sz w:val="22"/>
                <w:szCs w:val="22"/>
              </w:rPr>
              <w:t xml:space="preserve"> drills </w:t>
            </w:r>
            <w:r w:rsidR="00B21354" w:rsidRPr="00B21354">
              <w:rPr>
                <w:rFonts w:cs="Arial"/>
                <w:color w:val="auto"/>
                <w:sz w:val="22"/>
                <w:szCs w:val="22"/>
              </w:rPr>
              <w:t>to support your practice’s respons</w:t>
            </w:r>
            <w:r w:rsidR="00F064B2">
              <w:rPr>
                <w:rFonts w:cs="Arial"/>
                <w:color w:val="auto"/>
                <w:sz w:val="22"/>
                <w:szCs w:val="22"/>
              </w:rPr>
              <w:t>iveness</w:t>
            </w:r>
            <w:r w:rsidR="00B21354" w:rsidRPr="00B21354">
              <w:rPr>
                <w:rFonts w:cs="Arial"/>
                <w:color w:val="auto"/>
                <w:sz w:val="22"/>
                <w:szCs w:val="22"/>
              </w:rPr>
              <w:t xml:space="preserve"> </w:t>
            </w:r>
            <w:r w:rsidR="00573E02" w:rsidRPr="00B21354">
              <w:rPr>
                <w:rFonts w:cs="Arial"/>
                <w:color w:val="auto"/>
                <w:sz w:val="22"/>
                <w:szCs w:val="22"/>
              </w:rPr>
              <w:t>to urgent</w:t>
            </w:r>
            <w:r w:rsidR="00B21354" w:rsidRPr="00B21354">
              <w:rPr>
                <w:rFonts w:cs="Arial"/>
                <w:color w:val="auto"/>
                <w:sz w:val="22"/>
                <w:szCs w:val="22"/>
              </w:rPr>
              <w:t xml:space="preserve"> health needs</w:t>
            </w:r>
            <w:r w:rsidR="005F36D5">
              <w:rPr>
                <w:rFonts w:cs="Arial"/>
                <w:color w:val="auto"/>
                <w:sz w:val="22"/>
                <w:szCs w:val="22"/>
              </w:rPr>
              <w:t>.</w:t>
            </w:r>
          </w:p>
        </w:tc>
        <w:tc>
          <w:tcPr>
            <w:tcW w:w="4075" w:type="dxa"/>
          </w:tcPr>
          <w:p w14:paraId="6CD7AA56" w14:textId="1F5F20EF" w:rsidR="00A9739B" w:rsidRDefault="00A9739B" w:rsidP="00B21354">
            <w:pPr>
              <w:pStyle w:val="TableCellBULLETSredTables"/>
              <w:numPr>
                <w:ilvl w:val="0"/>
                <w:numId w:val="0"/>
              </w:numPr>
              <w:tabs>
                <w:tab w:val="clear" w:pos="284"/>
                <w:tab w:val="left" w:pos="1"/>
              </w:tabs>
              <w:spacing w:before="60" w:after="60"/>
              <w:rPr>
                <w:rFonts w:ascii="Arial" w:hAnsi="Arial" w:cs="Arial"/>
                <w:color w:val="auto"/>
                <w:szCs w:val="22"/>
              </w:rPr>
            </w:pPr>
            <w:r>
              <w:rPr>
                <w:rFonts w:ascii="Arial" w:hAnsi="Arial" w:cs="Arial"/>
                <w:color w:val="auto"/>
                <w:szCs w:val="22"/>
              </w:rPr>
              <w:t xml:space="preserve">Emergency drills that demonstrate all team members are familiar with their roles and responsibilities. </w:t>
            </w:r>
          </w:p>
          <w:p w14:paraId="3CEF515C" w14:textId="6DDF55C7" w:rsidR="00B21354" w:rsidRPr="00B21354" w:rsidRDefault="00B21354" w:rsidP="00B21354">
            <w:pPr>
              <w:pStyle w:val="TableCellBULLETSredTables"/>
              <w:numPr>
                <w:ilvl w:val="0"/>
                <w:numId w:val="0"/>
              </w:numPr>
              <w:tabs>
                <w:tab w:val="clear" w:pos="284"/>
                <w:tab w:val="left" w:pos="1"/>
              </w:tabs>
              <w:spacing w:before="60" w:after="60"/>
              <w:rPr>
                <w:rFonts w:ascii="Arial" w:hAnsi="Arial" w:cs="Arial"/>
                <w:color w:val="auto"/>
                <w:szCs w:val="22"/>
              </w:rPr>
            </w:pPr>
            <w:r w:rsidRPr="00B21354">
              <w:rPr>
                <w:rFonts w:ascii="Arial" w:hAnsi="Arial" w:cs="Arial"/>
                <w:color w:val="auto"/>
                <w:szCs w:val="22"/>
              </w:rPr>
              <w:t xml:space="preserve">Documented </w:t>
            </w:r>
            <w:r w:rsidR="002B46CE">
              <w:rPr>
                <w:rFonts w:ascii="Arial" w:hAnsi="Arial" w:cs="Arial"/>
                <w:color w:val="auto"/>
                <w:szCs w:val="22"/>
              </w:rPr>
              <w:t xml:space="preserve">analysis and </w:t>
            </w:r>
            <w:r w:rsidRPr="00B21354">
              <w:rPr>
                <w:rFonts w:ascii="Arial" w:hAnsi="Arial" w:cs="Arial"/>
                <w:color w:val="auto"/>
                <w:szCs w:val="22"/>
              </w:rPr>
              <w:t>debrief of the emergency scenario</w:t>
            </w:r>
            <w:r w:rsidR="002B46CE">
              <w:rPr>
                <w:rFonts w:ascii="Arial" w:hAnsi="Arial" w:cs="Arial"/>
                <w:color w:val="auto"/>
                <w:szCs w:val="22"/>
              </w:rPr>
              <w:t xml:space="preserve"> drill.</w:t>
            </w:r>
          </w:p>
          <w:p w14:paraId="5713D563" w14:textId="77777777" w:rsidR="009D0BD2" w:rsidRPr="00B21354" w:rsidRDefault="009D0BD2" w:rsidP="008C2DB7">
            <w:pPr>
              <w:spacing w:before="60"/>
              <w:rPr>
                <w:color w:val="auto"/>
                <w:sz w:val="22"/>
                <w:szCs w:val="22"/>
              </w:rPr>
            </w:pPr>
          </w:p>
        </w:tc>
      </w:tr>
    </w:tbl>
    <w:p w14:paraId="2CA59411" w14:textId="15B52B6E" w:rsidR="00B31578" w:rsidRPr="005B2DE1" w:rsidRDefault="00B31578" w:rsidP="00B31578">
      <w:pPr>
        <w:pStyle w:val="HHLBodyText"/>
        <w:spacing w:before="240"/>
        <w:rPr>
          <w:b/>
          <w:sz w:val="22"/>
          <w:szCs w:val="22"/>
        </w:rPr>
      </w:pPr>
      <w:r w:rsidRPr="005B2DE1">
        <w:rPr>
          <w:b/>
          <w:sz w:val="22"/>
          <w:szCs w:val="22"/>
        </w:rPr>
        <w:t>Required training</w:t>
      </w:r>
    </w:p>
    <w:p w14:paraId="095C1216" w14:textId="193EBC3B" w:rsidR="00B31578" w:rsidRPr="00EF7651" w:rsidRDefault="00FC0BC3" w:rsidP="00EF7651">
      <w:pPr>
        <w:spacing w:after="120"/>
        <w:rPr>
          <w:color w:val="auto"/>
          <w:sz w:val="22"/>
          <w:szCs w:val="22"/>
        </w:rPr>
      </w:pPr>
      <w:r w:rsidRPr="00EF7651">
        <w:rPr>
          <w:color w:val="auto"/>
          <w:sz w:val="22"/>
          <w:szCs w:val="22"/>
        </w:rPr>
        <w:t xml:space="preserve">Non-clinical team members </w:t>
      </w:r>
      <w:r w:rsidR="00573E02" w:rsidRPr="00EF7651">
        <w:rPr>
          <w:color w:val="auto"/>
          <w:sz w:val="22"/>
          <w:szCs w:val="22"/>
        </w:rPr>
        <w:t>responsible</w:t>
      </w:r>
      <w:r w:rsidRPr="00EF7651">
        <w:rPr>
          <w:color w:val="auto"/>
          <w:sz w:val="22"/>
          <w:szCs w:val="22"/>
        </w:rPr>
        <w:t xml:space="preserve"> for first-line interaction with patients are trained</w:t>
      </w:r>
      <w:r w:rsidR="002B46CE">
        <w:rPr>
          <w:color w:val="auto"/>
          <w:sz w:val="22"/>
          <w:szCs w:val="22"/>
        </w:rPr>
        <w:t xml:space="preserve"> / retraine</w:t>
      </w:r>
      <w:r w:rsidR="001345F2">
        <w:rPr>
          <w:color w:val="auto"/>
          <w:sz w:val="22"/>
          <w:szCs w:val="22"/>
        </w:rPr>
        <w:t>d</w:t>
      </w:r>
      <w:r w:rsidR="0004453F" w:rsidRPr="00EF7651">
        <w:rPr>
          <w:color w:val="auto"/>
          <w:sz w:val="22"/>
          <w:szCs w:val="22"/>
        </w:rPr>
        <w:t>, annually,</w:t>
      </w:r>
      <w:r w:rsidRPr="00EF7651">
        <w:rPr>
          <w:color w:val="auto"/>
          <w:sz w:val="22"/>
          <w:szCs w:val="22"/>
        </w:rPr>
        <w:t xml:space="preserve"> to </w:t>
      </w:r>
      <w:r w:rsidR="00573E02" w:rsidRPr="00EF7651">
        <w:rPr>
          <w:color w:val="auto"/>
          <w:sz w:val="22"/>
          <w:szCs w:val="22"/>
        </w:rPr>
        <w:t>identify</w:t>
      </w:r>
      <w:r w:rsidRPr="00EF7651">
        <w:rPr>
          <w:color w:val="auto"/>
          <w:sz w:val="22"/>
          <w:szCs w:val="22"/>
        </w:rPr>
        <w:t xml:space="preserve"> and </w:t>
      </w:r>
      <w:r w:rsidR="00573E02" w:rsidRPr="00EF7651">
        <w:rPr>
          <w:color w:val="auto"/>
          <w:sz w:val="22"/>
          <w:szCs w:val="22"/>
        </w:rPr>
        <w:t>respond</w:t>
      </w:r>
      <w:r w:rsidRPr="00EF7651">
        <w:rPr>
          <w:color w:val="auto"/>
          <w:sz w:val="22"/>
          <w:szCs w:val="22"/>
        </w:rPr>
        <w:t xml:space="preserve"> </w:t>
      </w:r>
      <w:r w:rsidR="00573E02" w:rsidRPr="00EF7651">
        <w:rPr>
          <w:color w:val="auto"/>
          <w:sz w:val="22"/>
          <w:szCs w:val="22"/>
        </w:rPr>
        <w:t>appropriately</w:t>
      </w:r>
      <w:r w:rsidRPr="00EF7651">
        <w:rPr>
          <w:color w:val="auto"/>
          <w:sz w:val="22"/>
          <w:szCs w:val="22"/>
        </w:rPr>
        <w:t xml:space="preserve"> to patients with urgent </w:t>
      </w:r>
      <w:r w:rsidR="008D66C4" w:rsidRPr="00EF7651">
        <w:rPr>
          <w:color w:val="auto"/>
          <w:sz w:val="22"/>
          <w:szCs w:val="22"/>
        </w:rPr>
        <w:t>medical conditions.</w:t>
      </w:r>
    </w:p>
    <w:p w14:paraId="7D2FEA34" w14:textId="04928DFC" w:rsidR="009D0BD2" w:rsidRPr="00A81435" w:rsidRDefault="009D0BD2" w:rsidP="009D0BD2">
      <w:pPr>
        <w:spacing w:before="240" w:after="120"/>
        <w:rPr>
          <w:b/>
          <w:color w:val="auto"/>
          <w:sz w:val="22"/>
          <w:szCs w:val="22"/>
        </w:rPr>
      </w:pPr>
      <w:r w:rsidRPr="00A81435">
        <w:rPr>
          <w:b/>
          <w:color w:val="auto"/>
          <w:sz w:val="22"/>
          <w:szCs w:val="22"/>
        </w:rPr>
        <w:t>Guidance notes</w:t>
      </w:r>
    </w:p>
    <w:p w14:paraId="170C0DFA" w14:textId="0C8E5D76" w:rsidR="008C2DB7" w:rsidRPr="005F36D5" w:rsidRDefault="008C2DB7" w:rsidP="008C2DB7">
      <w:pPr>
        <w:rPr>
          <w:color w:val="auto"/>
          <w:sz w:val="22"/>
          <w:szCs w:val="22"/>
        </w:rPr>
      </w:pPr>
      <w:r w:rsidRPr="005F36D5">
        <w:rPr>
          <w:color w:val="auto"/>
          <w:sz w:val="22"/>
          <w:szCs w:val="22"/>
        </w:rPr>
        <w:t xml:space="preserve">Every general practice operates in a different way so make sure you design protocols or guidelines to meet the needs of your individual practice. </w:t>
      </w:r>
    </w:p>
    <w:p w14:paraId="4480EC96" w14:textId="77777777" w:rsidR="008C2DB7" w:rsidRPr="005F36D5" w:rsidRDefault="008C2DB7" w:rsidP="008C2DB7">
      <w:pPr>
        <w:rPr>
          <w:color w:val="auto"/>
          <w:sz w:val="22"/>
          <w:szCs w:val="22"/>
        </w:rPr>
      </w:pPr>
      <w:r w:rsidRPr="005F36D5">
        <w:rPr>
          <w:color w:val="auto"/>
          <w:sz w:val="22"/>
          <w:szCs w:val="22"/>
        </w:rPr>
        <w:t xml:space="preserve">It is important that front-line team members understand their role in observing waiting patients and how to alert your clinical team members if they are concerned about a patient in the waiting room. </w:t>
      </w:r>
    </w:p>
    <w:p w14:paraId="21011C3F" w14:textId="77777777" w:rsidR="008C2DB7" w:rsidRPr="009746AB" w:rsidRDefault="008C2DB7" w:rsidP="001A243E">
      <w:pPr>
        <w:spacing w:before="120"/>
        <w:rPr>
          <w:color w:val="auto"/>
          <w:sz w:val="22"/>
          <w:szCs w:val="22"/>
        </w:rPr>
      </w:pPr>
      <w:r w:rsidRPr="009746AB">
        <w:rPr>
          <w:color w:val="auto"/>
          <w:sz w:val="22"/>
          <w:szCs w:val="22"/>
        </w:rPr>
        <w:t>Ways you can observe patients:</w:t>
      </w:r>
    </w:p>
    <w:p w14:paraId="42A569FD" w14:textId="3CA922D8" w:rsidR="008C2DB7" w:rsidRPr="001A243E" w:rsidRDefault="008C2DB7" w:rsidP="008D486E">
      <w:pPr>
        <w:pStyle w:val="Bullets"/>
        <w:ind w:left="567" w:hanging="567"/>
        <w:rPr>
          <w:rFonts w:ascii="Arial" w:hAnsi="Arial" w:cs="Arial"/>
        </w:rPr>
      </w:pPr>
      <w:r w:rsidRPr="001A243E">
        <w:rPr>
          <w:rFonts w:ascii="Arial" w:hAnsi="Arial" w:cs="Arial"/>
        </w:rPr>
        <w:t>Direct observation</w:t>
      </w:r>
    </w:p>
    <w:p w14:paraId="5EDFE53A" w14:textId="3FAA989A" w:rsidR="008C2DB7" w:rsidRPr="001A243E" w:rsidRDefault="008C2DB7" w:rsidP="008D486E">
      <w:pPr>
        <w:pStyle w:val="Bullets"/>
        <w:ind w:left="567" w:hanging="567"/>
        <w:rPr>
          <w:rFonts w:ascii="Arial" w:hAnsi="Arial" w:cs="Arial"/>
        </w:rPr>
      </w:pPr>
      <w:r w:rsidRPr="001A243E">
        <w:rPr>
          <w:rFonts w:ascii="Arial" w:hAnsi="Arial" w:cs="Arial"/>
        </w:rPr>
        <w:t>Two-way windows</w:t>
      </w:r>
    </w:p>
    <w:p w14:paraId="4E69C580" w14:textId="0EAD2783" w:rsidR="008C2DB7" w:rsidRPr="001A243E" w:rsidRDefault="008C2DB7" w:rsidP="008D486E">
      <w:pPr>
        <w:pStyle w:val="Bullets"/>
        <w:ind w:left="567" w:hanging="567"/>
        <w:rPr>
          <w:rFonts w:ascii="Arial" w:hAnsi="Arial" w:cs="Arial"/>
        </w:rPr>
      </w:pPr>
      <w:r w:rsidRPr="001A243E">
        <w:rPr>
          <w:rFonts w:ascii="Arial" w:hAnsi="Arial" w:cs="Arial"/>
        </w:rPr>
        <w:t>Concave mirrors</w:t>
      </w:r>
    </w:p>
    <w:p w14:paraId="4ACA9AC3" w14:textId="23D17EB8" w:rsidR="008C2DB7" w:rsidRPr="001A243E" w:rsidRDefault="008C2DB7" w:rsidP="008D486E">
      <w:pPr>
        <w:pStyle w:val="Bullets"/>
        <w:ind w:left="567" w:hanging="567"/>
        <w:rPr>
          <w:rFonts w:ascii="Arial" w:hAnsi="Arial" w:cs="Arial"/>
        </w:rPr>
      </w:pPr>
      <w:r w:rsidRPr="001A243E">
        <w:rPr>
          <w:rFonts w:ascii="Arial" w:hAnsi="Arial" w:cs="Arial"/>
        </w:rPr>
        <w:t xml:space="preserve">Closed circuit TV (consider </w:t>
      </w:r>
      <w:hyperlink r:id="rId125" w:history="1">
        <w:r w:rsidRPr="001A243E">
          <w:rPr>
            <w:rFonts w:ascii="Arial" w:hAnsi="Arial" w:cs="Arial"/>
          </w:rPr>
          <w:t>Privacy and CCTV</w:t>
        </w:r>
      </w:hyperlink>
      <w:r w:rsidRPr="001A243E">
        <w:rPr>
          <w:rFonts w:ascii="Arial" w:hAnsi="Arial" w:cs="Arial"/>
        </w:rPr>
        <w:t xml:space="preserve"> issues)</w:t>
      </w:r>
    </w:p>
    <w:p w14:paraId="59A00DD2" w14:textId="77777777" w:rsidR="008C2DB7" w:rsidRPr="001E4EA2" w:rsidRDefault="008C2DB7" w:rsidP="001E4EA2">
      <w:pPr>
        <w:spacing w:before="120"/>
        <w:rPr>
          <w:color w:val="auto"/>
          <w:sz w:val="22"/>
          <w:szCs w:val="22"/>
        </w:rPr>
      </w:pPr>
      <w:r w:rsidRPr="001E4EA2">
        <w:rPr>
          <w:color w:val="auto"/>
          <w:sz w:val="22"/>
          <w:szCs w:val="22"/>
        </w:rPr>
        <w:t>You’ll need to think carefully about asking patients to wait in secondary waiting areas, distant from the main waiting area. How will you detect a change in the condition of waiting patients in this area?</w:t>
      </w:r>
    </w:p>
    <w:p w14:paraId="6C3F091A" w14:textId="77777777" w:rsidR="008C2DB7" w:rsidRPr="005634BD" w:rsidRDefault="008C2DB7" w:rsidP="008D486E">
      <w:pPr>
        <w:pStyle w:val="HHLBodyText"/>
        <w:spacing w:before="180" w:after="60"/>
        <w:rPr>
          <w:i/>
        </w:rPr>
      </w:pPr>
      <w:r w:rsidRPr="005634BD">
        <w:rPr>
          <w:i/>
        </w:rPr>
        <w:t>How will you manage patients with urgent medical needs?</w:t>
      </w:r>
    </w:p>
    <w:p w14:paraId="494D2627" w14:textId="77777777" w:rsidR="008C2DB7" w:rsidRPr="00AE4911" w:rsidRDefault="008C2DB7" w:rsidP="008C2DB7">
      <w:pPr>
        <w:rPr>
          <w:color w:val="auto"/>
          <w:sz w:val="22"/>
          <w:szCs w:val="22"/>
        </w:rPr>
      </w:pPr>
      <w:r w:rsidRPr="00AE4911">
        <w:rPr>
          <w:color w:val="auto"/>
          <w:sz w:val="22"/>
          <w:szCs w:val="22"/>
        </w:rPr>
        <w:t>It is essential that you have a triage system in place to recognise and respond to an emergency. This will assist your staff to monitor and assess patients, decide how urgent their illness or injury is and how soon treatment is required. The triage system will be managed by your clinical team.</w:t>
      </w:r>
    </w:p>
    <w:p w14:paraId="2FBD7BD0" w14:textId="77777777" w:rsidR="008C2DB7" w:rsidRPr="00AE4911" w:rsidRDefault="008C2DB7" w:rsidP="00AE4911">
      <w:pPr>
        <w:rPr>
          <w:color w:val="auto"/>
          <w:sz w:val="22"/>
          <w:szCs w:val="22"/>
        </w:rPr>
      </w:pPr>
      <w:r w:rsidRPr="00AE4911">
        <w:rPr>
          <w:color w:val="auto"/>
          <w:sz w:val="22"/>
          <w:szCs w:val="22"/>
        </w:rPr>
        <w:t>Levels of timely access to care may be:</w:t>
      </w:r>
    </w:p>
    <w:p w14:paraId="1343A5A5" w14:textId="2C8BFAE8" w:rsidR="008C2DB7" w:rsidRPr="008E1583" w:rsidRDefault="008C2DB7" w:rsidP="008D486E">
      <w:pPr>
        <w:pStyle w:val="List1"/>
        <w:numPr>
          <w:ilvl w:val="0"/>
          <w:numId w:val="24"/>
        </w:numPr>
        <w:spacing w:after="0"/>
        <w:ind w:left="567" w:hanging="567"/>
        <w:rPr>
          <w:rFonts w:ascii="Arial" w:hAnsi="Arial" w:cs="Arial"/>
        </w:rPr>
      </w:pPr>
      <w:r w:rsidRPr="008E1583">
        <w:rPr>
          <w:rFonts w:ascii="Arial" w:hAnsi="Arial" w:cs="Arial"/>
        </w:rPr>
        <w:t xml:space="preserve">Emergency – immediate </w:t>
      </w:r>
    </w:p>
    <w:p w14:paraId="25365E92" w14:textId="1125560C" w:rsidR="008C2DB7" w:rsidRPr="008E1583" w:rsidRDefault="008C2DB7" w:rsidP="008D486E">
      <w:pPr>
        <w:pStyle w:val="List1"/>
        <w:spacing w:after="0"/>
        <w:ind w:left="567" w:hanging="567"/>
        <w:rPr>
          <w:rFonts w:ascii="Arial" w:hAnsi="Arial" w:cs="Arial"/>
        </w:rPr>
      </w:pPr>
      <w:r w:rsidRPr="008E1583">
        <w:rPr>
          <w:rFonts w:ascii="Arial" w:hAnsi="Arial" w:cs="Arial"/>
        </w:rPr>
        <w:t>Urgent – 20 minutes</w:t>
      </w:r>
    </w:p>
    <w:p w14:paraId="31D6C049" w14:textId="6062D3F0" w:rsidR="008C2DB7" w:rsidRPr="008E1583" w:rsidRDefault="008C2DB7" w:rsidP="008D486E">
      <w:pPr>
        <w:pStyle w:val="List1"/>
        <w:spacing w:after="0"/>
        <w:ind w:left="567" w:hanging="567"/>
        <w:rPr>
          <w:rFonts w:ascii="Arial" w:hAnsi="Arial" w:cs="Arial"/>
        </w:rPr>
      </w:pPr>
      <w:r w:rsidRPr="008E1583">
        <w:rPr>
          <w:rFonts w:ascii="Arial" w:hAnsi="Arial" w:cs="Arial"/>
        </w:rPr>
        <w:t>Interrupt doctor – as soon as possible</w:t>
      </w:r>
    </w:p>
    <w:p w14:paraId="169B81AB" w14:textId="4A698643" w:rsidR="008C2DB7" w:rsidRPr="008E1583" w:rsidRDefault="008C2DB7" w:rsidP="008D486E">
      <w:pPr>
        <w:pStyle w:val="List1"/>
        <w:spacing w:after="0"/>
        <w:ind w:left="567" w:hanging="567"/>
        <w:rPr>
          <w:rFonts w:ascii="Arial" w:hAnsi="Arial" w:cs="Arial"/>
        </w:rPr>
      </w:pPr>
      <w:r w:rsidRPr="008E1583">
        <w:rPr>
          <w:rFonts w:ascii="Arial" w:hAnsi="Arial" w:cs="Arial"/>
        </w:rPr>
        <w:t>Today – same day</w:t>
      </w:r>
    </w:p>
    <w:p w14:paraId="66CA4C18" w14:textId="4D509DA4" w:rsidR="008C2DB7" w:rsidRPr="00DD24D5" w:rsidRDefault="008C2DB7" w:rsidP="008D486E">
      <w:pPr>
        <w:pStyle w:val="List1"/>
        <w:spacing w:after="0"/>
        <w:ind w:left="567" w:hanging="567"/>
      </w:pPr>
      <w:r w:rsidRPr="008E1583">
        <w:rPr>
          <w:rFonts w:ascii="Arial" w:hAnsi="Arial" w:cs="Arial"/>
        </w:rPr>
        <w:t>Within 24 hours</w:t>
      </w:r>
    </w:p>
    <w:p w14:paraId="79D61FCA" w14:textId="2937A44A" w:rsidR="008C2DB7" w:rsidRPr="005634BD" w:rsidRDefault="008C2DB7" w:rsidP="009D0901">
      <w:pPr>
        <w:pStyle w:val="HHLBodyText"/>
        <w:spacing w:before="240"/>
        <w:rPr>
          <w:i/>
        </w:rPr>
      </w:pPr>
      <w:r w:rsidRPr="005634BD">
        <w:rPr>
          <w:i/>
        </w:rPr>
        <w:lastRenderedPageBreak/>
        <w:t>Training</w:t>
      </w:r>
    </w:p>
    <w:p w14:paraId="268E77E1" w14:textId="7592173B" w:rsidR="008C2DB7" w:rsidRPr="009D0901" w:rsidRDefault="008C2DB7" w:rsidP="008C2DB7">
      <w:pPr>
        <w:rPr>
          <w:color w:val="auto"/>
          <w:sz w:val="22"/>
          <w:szCs w:val="22"/>
        </w:rPr>
      </w:pPr>
      <w:r w:rsidRPr="009D0901">
        <w:rPr>
          <w:color w:val="auto"/>
          <w:sz w:val="22"/>
          <w:szCs w:val="22"/>
        </w:rPr>
        <w:t xml:space="preserve">It is recommended that your general practice team holds training sessions to give your staff the opportunity to </w:t>
      </w:r>
      <w:r w:rsidR="007B2D37" w:rsidRPr="009D0901">
        <w:rPr>
          <w:color w:val="auto"/>
          <w:sz w:val="22"/>
          <w:szCs w:val="22"/>
        </w:rPr>
        <w:t>practice</w:t>
      </w:r>
      <w:r w:rsidRPr="009D0901">
        <w:rPr>
          <w:color w:val="auto"/>
          <w:sz w:val="22"/>
          <w:szCs w:val="22"/>
        </w:rPr>
        <w:t xml:space="preserve"> acting out specific scenarios, such as the patient with chest pain or the patient who is very short of breath, so they will know how to manage these situations.</w:t>
      </w:r>
    </w:p>
    <w:p w14:paraId="4299B101" w14:textId="77777777" w:rsidR="008C2DB7" w:rsidRPr="009D0901" w:rsidRDefault="008C2DB7" w:rsidP="008C2DB7">
      <w:pPr>
        <w:rPr>
          <w:color w:val="auto"/>
          <w:sz w:val="22"/>
          <w:szCs w:val="22"/>
        </w:rPr>
      </w:pPr>
      <w:r w:rsidRPr="009D0901">
        <w:rPr>
          <w:color w:val="auto"/>
          <w:sz w:val="22"/>
          <w:szCs w:val="22"/>
        </w:rPr>
        <w:t>Your training programmes should also include:</w:t>
      </w:r>
    </w:p>
    <w:p w14:paraId="1D284B08" w14:textId="28BC8C99" w:rsidR="008C2DB7" w:rsidRPr="004E40D6" w:rsidRDefault="00601079" w:rsidP="008D486E">
      <w:pPr>
        <w:pStyle w:val="Bullets"/>
        <w:ind w:left="567" w:hanging="567"/>
        <w:rPr>
          <w:rFonts w:ascii="Arial" w:hAnsi="Arial" w:cs="Arial"/>
        </w:rPr>
      </w:pPr>
      <w:r w:rsidRPr="004E40D6">
        <w:rPr>
          <w:rFonts w:ascii="Arial" w:hAnsi="Arial" w:cs="Arial"/>
        </w:rPr>
        <w:t>M</w:t>
      </w:r>
      <w:r w:rsidR="008C2DB7" w:rsidRPr="004E40D6">
        <w:rPr>
          <w:rFonts w:ascii="Arial" w:hAnsi="Arial" w:cs="Arial"/>
        </w:rPr>
        <w:t xml:space="preserve">edical emergencies in patients who are phoning the medical centre  </w:t>
      </w:r>
    </w:p>
    <w:p w14:paraId="2DD33950" w14:textId="646A9243" w:rsidR="008C2DB7" w:rsidRPr="004E40D6" w:rsidRDefault="00601079" w:rsidP="008D486E">
      <w:pPr>
        <w:pStyle w:val="Bullets"/>
        <w:ind w:left="567" w:hanging="567"/>
        <w:rPr>
          <w:rFonts w:ascii="Arial" w:hAnsi="Arial" w:cs="Arial"/>
        </w:rPr>
      </w:pPr>
      <w:r w:rsidRPr="004E40D6">
        <w:rPr>
          <w:rFonts w:ascii="Arial" w:hAnsi="Arial" w:cs="Arial"/>
        </w:rPr>
        <w:t>T</w:t>
      </w:r>
      <w:r w:rsidR="008C2DB7" w:rsidRPr="004E40D6">
        <w:rPr>
          <w:rFonts w:ascii="Arial" w:hAnsi="Arial" w:cs="Arial"/>
        </w:rPr>
        <w:t>hings to think about when putting callers ‘on hold’</w:t>
      </w:r>
    </w:p>
    <w:p w14:paraId="4248493E" w14:textId="665F8BC9" w:rsidR="009D3657" w:rsidRPr="009D3657" w:rsidRDefault="009D3657" w:rsidP="007A469E">
      <w:pPr>
        <w:pStyle w:val="Bullets-LAST"/>
        <w:tabs>
          <w:tab w:val="clear" w:pos="360"/>
        </w:tabs>
        <w:spacing w:before="240" w:after="60"/>
        <w:ind w:left="576" w:hanging="576"/>
        <w:rPr>
          <w:rFonts w:ascii="Arial" w:hAnsi="Arial" w:cs="Arial"/>
          <w:b/>
          <w:color w:val="auto"/>
          <w:szCs w:val="22"/>
        </w:rPr>
      </w:pPr>
      <w:r w:rsidRPr="009D3657">
        <w:rPr>
          <w:rFonts w:ascii="Arial" w:hAnsi="Arial" w:cs="Arial"/>
          <w:b/>
          <w:color w:val="auto"/>
          <w:szCs w:val="22"/>
          <w:lang w:val="en-GB"/>
        </w:rPr>
        <w:t>Things to think about for your training and resources</w:t>
      </w:r>
    </w:p>
    <w:p w14:paraId="21B7055B" w14:textId="77777777" w:rsidR="009D3657" w:rsidRPr="004E40D6" w:rsidRDefault="009D3657" w:rsidP="008D486E">
      <w:pPr>
        <w:pStyle w:val="Bullets"/>
        <w:ind w:left="567" w:hanging="567"/>
        <w:rPr>
          <w:rFonts w:ascii="Arial" w:hAnsi="Arial" w:cs="Arial"/>
        </w:rPr>
      </w:pPr>
      <w:r w:rsidRPr="004E40D6">
        <w:rPr>
          <w:rFonts w:ascii="Arial" w:hAnsi="Arial" w:cs="Arial"/>
        </w:rPr>
        <w:t>Is it at a level appropriate for different team members?</w:t>
      </w:r>
    </w:p>
    <w:p w14:paraId="055530D5" w14:textId="1B547DA9" w:rsidR="009D3657" w:rsidRPr="004E40D6" w:rsidRDefault="009D3657" w:rsidP="008D486E">
      <w:pPr>
        <w:pStyle w:val="Bullets"/>
        <w:ind w:left="567" w:hanging="567"/>
        <w:rPr>
          <w:rFonts w:ascii="Arial" w:hAnsi="Arial" w:cs="Arial"/>
        </w:rPr>
      </w:pPr>
      <w:r w:rsidRPr="004E40D6">
        <w:rPr>
          <w:rFonts w:ascii="Arial" w:hAnsi="Arial" w:cs="Arial"/>
        </w:rPr>
        <w:t xml:space="preserve">Do you have reference material available from which to </w:t>
      </w:r>
      <w:r w:rsidR="00ED3B10" w:rsidRPr="004E40D6">
        <w:rPr>
          <w:rFonts w:ascii="Arial" w:hAnsi="Arial" w:cs="Arial"/>
        </w:rPr>
        <w:t>decide</w:t>
      </w:r>
      <w:r w:rsidRPr="004E40D6">
        <w:rPr>
          <w:rFonts w:ascii="Arial" w:hAnsi="Arial" w:cs="Arial"/>
        </w:rPr>
        <w:t xml:space="preserve"> (e.g. posters, booklets, algorithms or flowcharts)?</w:t>
      </w:r>
    </w:p>
    <w:p w14:paraId="303EFFE8" w14:textId="77777777" w:rsidR="009D3657" w:rsidRPr="004E40D6" w:rsidRDefault="009D3657" w:rsidP="008D486E">
      <w:pPr>
        <w:pStyle w:val="Bullets"/>
        <w:ind w:left="567" w:hanging="567"/>
        <w:rPr>
          <w:rFonts w:ascii="Arial" w:hAnsi="Arial" w:cs="Arial"/>
        </w:rPr>
      </w:pPr>
      <w:r w:rsidRPr="004E40D6">
        <w:rPr>
          <w:rFonts w:ascii="Arial" w:hAnsi="Arial" w:cs="Arial"/>
        </w:rPr>
        <w:t xml:space="preserve">Is your reference material readily available and accessible? </w:t>
      </w:r>
    </w:p>
    <w:p w14:paraId="7BEC4307" w14:textId="77777777" w:rsidR="009D3657" w:rsidRPr="004E40D6" w:rsidRDefault="009D3657" w:rsidP="008D486E">
      <w:pPr>
        <w:pStyle w:val="Bullets"/>
        <w:ind w:left="567" w:hanging="567"/>
        <w:rPr>
          <w:rFonts w:ascii="Arial" w:hAnsi="Arial" w:cs="Arial"/>
        </w:rPr>
      </w:pPr>
      <w:r w:rsidRPr="004E40D6">
        <w:rPr>
          <w:rFonts w:ascii="Arial" w:hAnsi="Arial" w:cs="Arial"/>
        </w:rPr>
        <w:t>Do all relevant staff members know where to find this information?</w:t>
      </w:r>
    </w:p>
    <w:p w14:paraId="31D460A3" w14:textId="77777777" w:rsidR="009D3657" w:rsidRPr="004E40D6" w:rsidRDefault="009D3657" w:rsidP="008D486E">
      <w:pPr>
        <w:pStyle w:val="Bullets"/>
        <w:ind w:left="567" w:hanging="567"/>
        <w:rPr>
          <w:rFonts w:ascii="Arial" w:hAnsi="Arial" w:cs="Arial"/>
        </w:rPr>
      </w:pPr>
      <w:r w:rsidRPr="004E40D6">
        <w:rPr>
          <w:rFonts w:ascii="Arial" w:hAnsi="Arial" w:cs="Arial"/>
        </w:rPr>
        <w:t>Do you have definitions and responses for potential problems including (but not limited to):</w:t>
      </w:r>
    </w:p>
    <w:p w14:paraId="3B8C1D77" w14:textId="6779F585" w:rsidR="009D3657" w:rsidRPr="009D3657" w:rsidRDefault="007A469E"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P</w:t>
      </w:r>
      <w:r w:rsidR="009D3657" w:rsidRPr="009D3657">
        <w:rPr>
          <w:rFonts w:ascii="Arial" w:hAnsi="Arial" w:cs="Arial"/>
          <w:color w:val="auto"/>
          <w:szCs w:val="22"/>
        </w:rPr>
        <w:t>ain</w:t>
      </w:r>
    </w:p>
    <w:p w14:paraId="09532651" w14:textId="4CCCDFB5" w:rsidR="009D3657" w:rsidRPr="009D3657" w:rsidRDefault="000A7BFB"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B</w:t>
      </w:r>
      <w:r w:rsidR="009D3657" w:rsidRPr="009D3657">
        <w:rPr>
          <w:rFonts w:ascii="Arial" w:hAnsi="Arial" w:cs="Arial"/>
          <w:color w:val="auto"/>
          <w:szCs w:val="22"/>
        </w:rPr>
        <w:t>leeding</w:t>
      </w:r>
    </w:p>
    <w:p w14:paraId="55F19ADC" w14:textId="6AAF0E46" w:rsidR="009D3657" w:rsidRPr="009D3657" w:rsidRDefault="000A7BFB"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S</w:t>
      </w:r>
      <w:r w:rsidR="009D3657" w:rsidRPr="009D3657">
        <w:rPr>
          <w:rFonts w:ascii="Arial" w:hAnsi="Arial" w:cs="Arial"/>
          <w:color w:val="auto"/>
          <w:szCs w:val="22"/>
        </w:rPr>
        <w:t>lurred speech</w:t>
      </w:r>
    </w:p>
    <w:p w14:paraId="30CED4EC" w14:textId="58C3865E" w:rsidR="009D3657" w:rsidRPr="009D3657" w:rsidRDefault="000A7BFB"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A</w:t>
      </w:r>
      <w:r w:rsidR="009D3657" w:rsidRPr="009D3657">
        <w:rPr>
          <w:rFonts w:ascii="Arial" w:hAnsi="Arial" w:cs="Arial"/>
          <w:color w:val="auto"/>
          <w:szCs w:val="22"/>
        </w:rPr>
        <w:t>ltered level of consciousness</w:t>
      </w:r>
    </w:p>
    <w:p w14:paraId="09CB23E6" w14:textId="6006B66A" w:rsidR="009D3657" w:rsidRPr="009D3657" w:rsidRDefault="000A7BFB"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E</w:t>
      </w:r>
      <w:r w:rsidR="009D3657" w:rsidRPr="009D3657">
        <w:rPr>
          <w:rFonts w:ascii="Arial" w:hAnsi="Arial" w:cs="Arial"/>
          <w:color w:val="auto"/>
          <w:szCs w:val="22"/>
        </w:rPr>
        <w:t>xtreme concern</w:t>
      </w:r>
    </w:p>
    <w:p w14:paraId="512CF0F1" w14:textId="7C90DA6B" w:rsidR="009D3657" w:rsidRPr="009D3657" w:rsidRDefault="000A7BFB"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D</w:t>
      </w:r>
      <w:r w:rsidR="009D3657" w:rsidRPr="009D3657">
        <w:rPr>
          <w:rFonts w:ascii="Arial" w:hAnsi="Arial" w:cs="Arial"/>
          <w:color w:val="auto"/>
          <w:szCs w:val="22"/>
        </w:rPr>
        <w:t>ehydration</w:t>
      </w:r>
    </w:p>
    <w:p w14:paraId="442424D8" w14:textId="5C1839E0" w:rsidR="009D3657" w:rsidRPr="009D3657" w:rsidRDefault="000A7BFB" w:rsidP="008D486E">
      <w:pPr>
        <w:pStyle w:val="Bullets-LAST"/>
        <w:numPr>
          <w:ilvl w:val="0"/>
          <w:numId w:val="32"/>
        </w:numPr>
        <w:spacing w:before="60" w:after="60"/>
        <w:ind w:left="1134" w:hanging="567"/>
        <w:rPr>
          <w:rFonts w:ascii="Arial" w:hAnsi="Arial" w:cs="Arial"/>
          <w:color w:val="auto"/>
          <w:szCs w:val="22"/>
        </w:rPr>
      </w:pPr>
      <w:r>
        <w:rPr>
          <w:rFonts w:ascii="Arial" w:hAnsi="Arial" w:cs="Arial"/>
          <w:color w:val="auto"/>
          <w:szCs w:val="22"/>
        </w:rPr>
        <w:t>F</w:t>
      </w:r>
      <w:r w:rsidR="009D3657" w:rsidRPr="009D3657">
        <w:rPr>
          <w:rFonts w:ascii="Arial" w:hAnsi="Arial" w:cs="Arial"/>
          <w:color w:val="auto"/>
          <w:szCs w:val="22"/>
        </w:rPr>
        <w:t>ever</w:t>
      </w:r>
    </w:p>
    <w:p w14:paraId="39A63D66" w14:textId="77777777" w:rsidR="009D3657" w:rsidRPr="004E40D6" w:rsidRDefault="009D3657" w:rsidP="008D486E">
      <w:pPr>
        <w:pStyle w:val="Bullets"/>
        <w:ind w:left="567" w:hanging="567"/>
        <w:rPr>
          <w:rFonts w:ascii="Arial" w:hAnsi="Arial" w:cs="Arial"/>
        </w:rPr>
      </w:pPr>
      <w:r w:rsidRPr="004E40D6">
        <w:rPr>
          <w:rFonts w:ascii="Arial" w:hAnsi="Arial" w:cs="Arial"/>
        </w:rPr>
        <w:t>Non-clinical team members must not diagnose the patient’s medical condition or make a clinical decision.</w:t>
      </w:r>
    </w:p>
    <w:p w14:paraId="398E3E1C" w14:textId="77777777" w:rsidR="009D3657" w:rsidRPr="004E40D6" w:rsidRDefault="009D3657" w:rsidP="008D486E">
      <w:pPr>
        <w:pStyle w:val="Bullets"/>
        <w:ind w:left="567" w:hanging="567"/>
        <w:rPr>
          <w:rFonts w:ascii="Arial" w:hAnsi="Arial" w:cs="Arial"/>
        </w:rPr>
      </w:pPr>
      <w:r w:rsidRPr="004E40D6">
        <w:rPr>
          <w:rFonts w:ascii="Arial" w:hAnsi="Arial" w:cs="Arial"/>
        </w:rPr>
        <w:t>Is your training non-diagnostic (based on presenting problems and how to arrange timely access to care)?</w:t>
      </w:r>
    </w:p>
    <w:p w14:paraId="20F179A9" w14:textId="77777777" w:rsidR="009D3657" w:rsidRPr="004E40D6" w:rsidRDefault="009D3657" w:rsidP="008D486E">
      <w:pPr>
        <w:pStyle w:val="Bullets"/>
        <w:ind w:left="567" w:hanging="567"/>
        <w:rPr>
          <w:rFonts w:ascii="Arial" w:hAnsi="Arial" w:cs="Arial"/>
        </w:rPr>
      </w:pPr>
      <w:r w:rsidRPr="004E40D6">
        <w:rPr>
          <w:rFonts w:ascii="Arial" w:hAnsi="Arial" w:cs="Arial"/>
        </w:rPr>
        <w:t>Is it comprehensive and patient focused to include self-care, first aid and/or ongoing monitoring?</w:t>
      </w:r>
    </w:p>
    <w:p w14:paraId="3D1E69C4" w14:textId="6AD518CA" w:rsidR="00A54C08" w:rsidRPr="004E40D6" w:rsidRDefault="009D3657" w:rsidP="008D486E">
      <w:pPr>
        <w:pStyle w:val="Bullets"/>
        <w:ind w:left="567" w:hanging="567"/>
        <w:rPr>
          <w:rFonts w:ascii="Arial" w:hAnsi="Arial" w:cs="Arial"/>
        </w:rPr>
      </w:pPr>
      <w:r w:rsidRPr="004E40D6">
        <w:rPr>
          <w:rFonts w:ascii="Arial" w:hAnsi="Arial" w:cs="Arial"/>
        </w:rPr>
        <w:t>Does your training occur at least once a year?</w:t>
      </w:r>
    </w:p>
    <w:p w14:paraId="51185566" w14:textId="47CCCFEF" w:rsidR="008C2DB7" w:rsidRPr="00601079" w:rsidRDefault="008C2DB7" w:rsidP="000A7BFB">
      <w:pPr>
        <w:spacing w:before="120"/>
        <w:rPr>
          <w:color w:val="auto"/>
          <w:sz w:val="22"/>
          <w:szCs w:val="22"/>
        </w:rPr>
      </w:pPr>
      <w:r w:rsidRPr="00601079">
        <w:rPr>
          <w:color w:val="auto"/>
          <w:sz w:val="22"/>
          <w:szCs w:val="22"/>
        </w:rPr>
        <w:t>Whereas it is not possible to cover every possibility that may arise, do try and cover as many possible situations as you can, especially those that may be specific to your practice and location (</w:t>
      </w:r>
      <w:r w:rsidR="002D3694" w:rsidRPr="00601079">
        <w:rPr>
          <w:color w:val="auto"/>
          <w:sz w:val="22"/>
          <w:szCs w:val="22"/>
        </w:rPr>
        <w:t>e.g.</w:t>
      </w:r>
      <w:r w:rsidRPr="00601079">
        <w:rPr>
          <w:color w:val="auto"/>
          <w:sz w:val="22"/>
          <w:szCs w:val="22"/>
        </w:rPr>
        <w:t xml:space="preserve"> opens early, rural, isolated).</w:t>
      </w:r>
    </w:p>
    <w:p w14:paraId="2D90F7E8" w14:textId="77777777" w:rsidR="008C2DB7" w:rsidRPr="005634BD" w:rsidRDefault="008C2DB7" w:rsidP="00601079">
      <w:pPr>
        <w:pStyle w:val="HHLBodyText"/>
        <w:spacing w:before="240"/>
        <w:rPr>
          <w:i/>
        </w:rPr>
      </w:pPr>
      <w:r w:rsidRPr="005634BD">
        <w:rPr>
          <w:i/>
        </w:rPr>
        <w:t>CPR training</w:t>
      </w:r>
    </w:p>
    <w:p w14:paraId="2D834E8F" w14:textId="77777777" w:rsidR="008C2DB7" w:rsidRPr="00601079" w:rsidRDefault="008C2DB7" w:rsidP="008C2DB7">
      <w:pPr>
        <w:rPr>
          <w:color w:val="auto"/>
          <w:sz w:val="22"/>
          <w:szCs w:val="22"/>
        </w:rPr>
      </w:pPr>
      <w:r w:rsidRPr="00601079">
        <w:rPr>
          <w:color w:val="auto"/>
          <w:sz w:val="22"/>
          <w:szCs w:val="22"/>
        </w:rPr>
        <w:t>Cardiopulmonary resuscitation (CPR) skills are essential for all members of your clinical team who interact with patients and each must understand their specific role and the response required during any medical emergency in your practice.</w:t>
      </w:r>
    </w:p>
    <w:p w14:paraId="21697E2C" w14:textId="77777777" w:rsidR="008C2DB7" w:rsidRPr="00601079" w:rsidRDefault="008C2DB7" w:rsidP="008C2DB7">
      <w:pPr>
        <w:rPr>
          <w:color w:val="auto"/>
          <w:sz w:val="22"/>
          <w:szCs w:val="22"/>
        </w:rPr>
      </w:pPr>
      <w:r w:rsidRPr="00601079">
        <w:rPr>
          <w:color w:val="auto"/>
          <w:sz w:val="22"/>
          <w:szCs w:val="22"/>
        </w:rPr>
        <w:t>In some locations non-clinical team members may be required to initiate CPR or to assist at a medical emergency. This may happen in the likes of solo and rural practices or where reception staff are working without any clinical team members available onsite (maybe your receptionist opens the medical centre before any clinical staff are in the practice or clinical staff are on meal breaks).</w:t>
      </w:r>
    </w:p>
    <w:p w14:paraId="671A16A1" w14:textId="77777777" w:rsidR="008C2DB7" w:rsidRPr="00601079" w:rsidRDefault="008C2DB7" w:rsidP="008C2DB7">
      <w:pPr>
        <w:rPr>
          <w:color w:val="auto"/>
          <w:sz w:val="22"/>
          <w:szCs w:val="22"/>
        </w:rPr>
      </w:pPr>
      <w:r w:rsidRPr="00601079">
        <w:rPr>
          <w:color w:val="auto"/>
          <w:sz w:val="22"/>
          <w:szCs w:val="22"/>
        </w:rPr>
        <w:t>This includes:</w:t>
      </w:r>
    </w:p>
    <w:p w14:paraId="6EE3049D" w14:textId="28711BB8" w:rsidR="008C2DB7" w:rsidRPr="00DC1A3C" w:rsidRDefault="00996A21" w:rsidP="008D486E">
      <w:pPr>
        <w:pStyle w:val="Bullets"/>
        <w:ind w:left="567" w:hanging="567"/>
        <w:rPr>
          <w:rFonts w:ascii="Arial" w:hAnsi="Arial" w:cs="Arial"/>
        </w:rPr>
      </w:pPr>
      <w:r w:rsidRPr="00DC1A3C">
        <w:rPr>
          <w:rFonts w:ascii="Arial" w:hAnsi="Arial" w:cs="Arial"/>
        </w:rPr>
        <w:t>G</w:t>
      </w:r>
      <w:r w:rsidR="008C2DB7" w:rsidRPr="00DC1A3C">
        <w:rPr>
          <w:rFonts w:ascii="Arial" w:hAnsi="Arial" w:cs="Arial"/>
        </w:rPr>
        <w:t>athering appropriate personnel</w:t>
      </w:r>
    </w:p>
    <w:p w14:paraId="1634EAFB" w14:textId="1641376A" w:rsidR="008C2DB7" w:rsidRPr="00DC1A3C" w:rsidRDefault="00996A21" w:rsidP="008D486E">
      <w:pPr>
        <w:pStyle w:val="Bullets"/>
        <w:ind w:left="567" w:hanging="567"/>
        <w:rPr>
          <w:rFonts w:ascii="Arial" w:hAnsi="Arial" w:cs="Arial"/>
        </w:rPr>
      </w:pPr>
      <w:r w:rsidRPr="00DC1A3C">
        <w:rPr>
          <w:rFonts w:ascii="Arial" w:hAnsi="Arial" w:cs="Arial"/>
        </w:rPr>
        <w:t>H</w:t>
      </w:r>
      <w:r w:rsidR="008C2DB7" w:rsidRPr="00DC1A3C">
        <w:rPr>
          <w:rFonts w:ascii="Arial" w:hAnsi="Arial" w:cs="Arial"/>
        </w:rPr>
        <w:t>aving defined roles and responsibilities and systems to ensure such rules are followed</w:t>
      </w:r>
    </w:p>
    <w:p w14:paraId="0727610D" w14:textId="5EF7A19E" w:rsidR="008C2DB7" w:rsidRPr="00DC1A3C" w:rsidRDefault="00996A21" w:rsidP="008D486E">
      <w:pPr>
        <w:pStyle w:val="Bullets"/>
        <w:ind w:left="567" w:hanging="567"/>
        <w:rPr>
          <w:rFonts w:ascii="Arial" w:hAnsi="Arial" w:cs="Arial"/>
        </w:rPr>
      </w:pPr>
      <w:r w:rsidRPr="00DC1A3C">
        <w:rPr>
          <w:rFonts w:ascii="Arial" w:hAnsi="Arial" w:cs="Arial"/>
        </w:rPr>
        <w:t>E</w:t>
      </w:r>
      <w:r w:rsidR="008C2DB7" w:rsidRPr="00DC1A3C">
        <w:rPr>
          <w:rFonts w:ascii="Arial" w:hAnsi="Arial" w:cs="Arial"/>
        </w:rPr>
        <w:t>nsuring staff have a global overview of the crisis</w:t>
      </w:r>
    </w:p>
    <w:p w14:paraId="0CC2D63D" w14:textId="5D000882" w:rsidR="008C2DB7" w:rsidRPr="00DC1A3C" w:rsidRDefault="00996A21" w:rsidP="008D486E">
      <w:pPr>
        <w:pStyle w:val="Bullets"/>
        <w:ind w:left="567" w:hanging="567"/>
        <w:rPr>
          <w:rFonts w:ascii="Arial" w:hAnsi="Arial" w:cs="Arial"/>
        </w:rPr>
      </w:pPr>
      <w:r w:rsidRPr="00DC1A3C">
        <w:rPr>
          <w:rFonts w:ascii="Arial" w:hAnsi="Arial" w:cs="Arial"/>
        </w:rPr>
        <w:t>H</w:t>
      </w:r>
      <w:r w:rsidR="008C2DB7" w:rsidRPr="00DC1A3C">
        <w:rPr>
          <w:rFonts w:ascii="Arial" w:hAnsi="Arial" w:cs="Arial"/>
        </w:rPr>
        <w:t xml:space="preserve">aving appropriate communication between staff members </w:t>
      </w:r>
    </w:p>
    <w:p w14:paraId="29A1A393" w14:textId="65534275" w:rsidR="008C2DB7" w:rsidRPr="00DC1A3C" w:rsidRDefault="00996A21" w:rsidP="008D486E">
      <w:pPr>
        <w:pStyle w:val="Bullets"/>
        <w:ind w:left="567" w:hanging="567"/>
        <w:rPr>
          <w:rFonts w:ascii="Arial" w:hAnsi="Arial" w:cs="Arial"/>
        </w:rPr>
      </w:pPr>
      <w:r w:rsidRPr="00DC1A3C">
        <w:rPr>
          <w:rFonts w:ascii="Arial" w:hAnsi="Arial" w:cs="Arial"/>
        </w:rPr>
        <w:t>R</w:t>
      </w:r>
      <w:r w:rsidR="008C2DB7" w:rsidRPr="00DC1A3C">
        <w:rPr>
          <w:rFonts w:ascii="Arial" w:hAnsi="Arial" w:cs="Arial"/>
        </w:rPr>
        <w:t>eady access to organised and necessary equipment</w:t>
      </w:r>
    </w:p>
    <w:p w14:paraId="390D07D5" w14:textId="40C1D459" w:rsidR="008C2DB7" w:rsidRPr="00996A21" w:rsidRDefault="008C2DB7" w:rsidP="008C2DB7">
      <w:pPr>
        <w:rPr>
          <w:color w:val="auto"/>
          <w:sz w:val="22"/>
          <w:szCs w:val="22"/>
        </w:rPr>
      </w:pPr>
      <w:r w:rsidRPr="00996A21">
        <w:rPr>
          <w:color w:val="auto"/>
          <w:sz w:val="22"/>
          <w:szCs w:val="22"/>
        </w:rPr>
        <w:t>Responsibility for the management of any resuscitation lies with all team members</w:t>
      </w:r>
      <w:r w:rsidR="005017E4">
        <w:rPr>
          <w:color w:val="auto"/>
          <w:sz w:val="22"/>
          <w:szCs w:val="22"/>
        </w:rPr>
        <w:t>.</w:t>
      </w:r>
    </w:p>
    <w:p w14:paraId="5394D858" w14:textId="77777777" w:rsidR="008C2DB7" w:rsidRPr="00A81435" w:rsidRDefault="008C2DB7" w:rsidP="008C2DB7">
      <w:pPr>
        <w:spacing w:before="240" w:after="120"/>
        <w:rPr>
          <w:b/>
          <w:color w:val="auto"/>
          <w:sz w:val="22"/>
          <w:szCs w:val="22"/>
        </w:rPr>
      </w:pPr>
      <w:r w:rsidRPr="00A81435">
        <w:rPr>
          <w:b/>
          <w:color w:val="auto"/>
          <w:sz w:val="22"/>
          <w:szCs w:val="22"/>
        </w:rPr>
        <w:lastRenderedPageBreak/>
        <w:t>Resources</w:t>
      </w:r>
    </w:p>
    <w:p w14:paraId="43D668B6" w14:textId="0877BF32" w:rsidR="00206F53" w:rsidRPr="00F122DB" w:rsidRDefault="00CF1416" w:rsidP="0024030C">
      <w:pPr>
        <w:pStyle w:val="Resourcelist"/>
        <w:spacing w:after="120"/>
        <w:rPr>
          <w:rStyle w:val="Hyperlink"/>
          <w:rFonts w:ascii="Arial" w:hAnsi="Arial" w:cs="Arial"/>
          <w:color w:val="0000FF"/>
        </w:rPr>
      </w:pPr>
      <w:hyperlink r:id="rId126" w:history="1">
        <w:r w:rsidR="00206F53" w:rsidRPr="00F122DB">
          <w:rPr>
            <w:rStyle w:val="Hyperlink"/>
            <w:rFonts w:ascii="Arial" w:hAnsi="Arial" w:cs="Arial"/>
            <w:color w:val="0000FF"/>
          </w:rPr>
          <w:t>New Zealand Resuscitation Council</w:t>
        </w:r>
        <w:r w:rsidR="007D0831" w:rsidRPr="00F122DB">
          <w:rPr>
            <w:rStyle w:val="Hyperlink"/>
            <w:rFonts w:ascii="Arial" w:hAnsi="Arial" w:cs="Arial"/>
            <w:color w:val="0000FF"/>
          </w:rPr>
          <w:t xml:space="preserve">: </w:t>
        </w:r>
        <w:r w:rsidR="008B2E66" w:rsidRPr="00F122DB">
          <w:rPr>
            <w:rStyle w:val="Hyperlink"/>
            <w:rFonts w:ascii="Arial" w:hAnsi="Arial" w:cs="Arial"/>
            <w:color w:val="0000FF"/>
          </w:rPr>
          <w:t>G</w:t>
        </w:r>
        <w:r w:rsidR="00206F53" w:rsidRPr="00F122DB">
          <w:rPr>
            <w:rStyle w:val="Hyperlink"/>
            <w:rFonts w:ascii="Arial" w:hAnsi="Arial" w:cs="Arial"/>
            <w:color w:val="0000FF"/>
          </w:rPr>
          <w:t>uidelines</w:t>
        </w:r>
      </w:hyperlink>
    </w:p>
    <w:p w14:paraId="137BE5B6" w14:textId="6E23241F" w:rsidR="00206F53" w:rsidRPr="00F122DB" w:rsidRDefault="00CF1416" w:rsidP="0024030C">
      <w:pPr>
        <w:pStyle w:val="Resourcelist"/>
        <w:spacing w:after="120"/>
        <w:rPr>
          <w:rStyle w:val="Hyperlink"/>
          <w:rFonts w:ascii="Arial" w:hAnsi="Arial" w:cs="Arial"/>
          <w:color w:val="0000FF"/>
        </w:rPr>
      </w:pPr>
      <w:hyperlink r:id="rId127" w:history="1">
        <w:r w:rsidR="00206F53" w:rsidRPr="00F122DB">
          <w:rPr>
            <w:rStyle w:val="Hyperlink"/>
            <w:rFonts w:ascii="Arial" w:hAnsi="Arial" w:cs="Arial"/>
            <w:color w:val="0000FF"/>
          </w:rPr>
          <w:t>New Zealand Resuscitation Council</w:t>
        </w:r>
        <w:r w:rsidR="007D0831" w:rsidRPr="00F122DB">
          <w:rPr>
            <w:rStyle w:val="Hyperlink"/>
            <w:rFonts w:ascii="Arial" w:hAnsi="Arial" w:cs="Arial"/>
            <w:color w:val="0000FF"/>
          </w:rPr>
          <w:t>: T</w:t>
        </w:r>
        <w:r w:rsidR="00206F53" w:rsidRPr="00F122DB">
          <w:rPr>
            <w:rStyle w:val="Hyperlink"/>
            <w:rFonts w:ascii="Arial" w:hAnsi="Arial" w:cs="Arial"/>
            <w:color w:val="0000FF"/>
          </w:rPr>
          <w:t>raining</w:t>
        </w:r>
      </w:hyperlink>
    </w:p>
    <w:p w14:paraId="1328378F" w14:textId="1694E124" w:rsidR="00206F53" w:rsidRPr="00F122DB" w:rsidRDefault="00CF1416" w:rsidP="0024030C">
      <w:pPr>
        <w:pStyle w:val="Resourcelist"/>
        <w:spacing w:after="120"/>
        <w:rPr>
          <w:rStyle w:val="Hyperlink"/>
          <w:rFonts w:ascii="Arial" w:hAnsi="Arial" w:cs="Arial"/>
          <w:color w:val="0000FF"/>
        </w:rPr>
      </w:pPr>
      <w:hyperlink r:id="rId128" w:history="1">
        <w:r w:rsidR="00206F53" w:rsidRPr="00F122DB">
          <w:rPr>
            <w:rStyle w:val="Hyperlink"/>
            <w:rFonts w:ascii="Arial" w:hAnsi="Arial" w:cs="Arial"/>
            <w:color w:val="0000FF"/>
          </w:rPr>
          <w:t>St John</w:t>
        </w:r>
        <w:r w:rsidR="00E35B3D" w:rsidRPr="00F122DB">
          <w:rPr>
            <w:rStyle w:val="Hyperlink"/>
            <w:rFonts w:ascii="Arial" w:hAnsi="Arial" w:cs="Arial"/>
            <w:color w:val="0000FF"/>
          </w:rPr>
          <w:t>: First aid courses</w:t>
        </w:r>
      </w:hyperlink>
    </w:p>
    <w:p w14:paraId="1DDB4AF1" w14:textId="13E7202E" w:rsidR="00434D2F" w:rsidRPr="00F122DB" w:rsidRDefault="00CF1416" w:rsidP="0024030C">
      <w:pPr>
        <w:pStyle w:val="Resourcelist"/>
        <w:spacing w:after="120"/>
        <w:rPr>
          <w:rFonts w:ascii="Arial" w:hAnsi="Arial" w:cs="Arial"/>
          <w:color w:val="0000FF"/>
        </w:rPr>
      </w:pPr>
      <w:hyperlink r:id="rId129" w:history="1">
        <w:r w:rsidR="00206F53" w:rsidRPr="00F122DB">
          <w:rPr>
            <w:rStyle w:val="Hyperlink"/>
            <w:rFonts w:ascii="Arial" w:hAnsi="Arial" w:cs="Arial"/>
            <w:color w:val="0000FF"/>
          </w:rPr>
          <w:t>Privacy Commissioner</w:t>
        </w:r>
        <w:r w:rsidR="001E7771" w:rsidRPr="00F122DB">
          <w:rPr>
            <w:rStyle w:val="Hyperlink"/>
            <w:rFonts w:ascii="Arial" w:hAnsi="Arial" w:cs="Arial"/>
            <w:color w:val="0000FF"/>
          </w:rPr>
          <w:t>:</w:t>
        </w:r>
        <w:r w:rsidR="00206F53" w:rsidRPr="00F122DB">
          <w:rPr>
            <w:rStyle w:val="Hyperlink"/>
            <w:rFonts w:ascii="Arial" w:hAnsi="Arial" w:cs="Arial"/>
            <w:color w:val="0000FF"/>
          </w:rPr>
          <w:t xml:space="preserve"> Privacy and CCTV: </w:t>
        </w:r>
        <w:r w:rsidR="00512622" w:rsidRPr="00F122DB">
          <w:rPr>
            <w:rStyle w:val="Hyperlink"/>
            <w:rFonts w:ascii="Arial" w:hAnsi="Arial" w:cs="Arial"/>
            <w:color w:val="0000FF"/>
          </w:rPr>
          <w:t>A</w:t>
        </w:r>
        <w:r w:rsidR="00206F53" w:rsidRPr="00F122DB">
          <w:rPr>
            <w:rStyle w:val="Hyperlink"/>
            <w:rFonts w:ascii="Arial" w:hAnsi="Arial" w:cs="Arial"/>
            <w:color w:val="0000FF"/>
          </w:rPr>
          <w:t xml:space="preserve"> guide to the Privacy Act for businesses, agencies and organisations</w:t>
        </w:r>
      </w:hyperlink>
    </w:p>
    <w:p w14:paraId="4B92B7B1" w14:textId="77777777" w:rsidR="00434D2F" w:rsidRDefault="00434D2F">
      <w:pPr>
        <w:spacing w:after="0"/>
      </w:pPr>
      <w:r>
        <w:br w:type="page"/>
      </w:r>
    </w:p>
    <w:p w14:paraId="59BB4617" w14:textId="41676E70" w:rsidR="00003135" w:rsidRPr="00C55F31" w:rsidRDefault="00434D2F" w:rsidP="008D486E">
      <w:pPr>
        <w:pStyle w:val="HHLSubHeading"/>
        <w:numPr>
          <w:ilvl w:val="0"/>
          <w:numId w:val="0"/>
        </w:numPr>
        <w:tabs>
          <w:tab w:val="left" w:pos="1560"/>
        </w:tabs>
      </w:pPr>
      <w:bookmarkStart w:id="54" w:name="_Toc6998675"/>
      <w:r w:rsidRPr="00C55F31">
        <w:lastRenderedPageBreak/>
        <w:t>Indicator 1</w:t>
      </w:r>
      <w:r w:rsidR="009F4E7A">
        <w:t>6</w:t>
      </w:r>
      <w:r w:rsidRPr="00C55F31">
        <w:t>.</w:t>
      </w:r>
      <w:r w:rsidR="008D486E">
        <w:tab/>
      </w:r>
      <w:r w:rsidR="00003135" w:rsidRPr="00C55F31">
        <w:t>24-hour, 7-day/week health care</w:t>
      </w:r>
      <w:bookmarkEnd w:id="54"/>
    </w:p>
    <w:p w14:paraId="2356D7C3" w14:textId="0A96B5DA" w:rsidR="00434D2F" w:rsidRPr="00003135" w:rsidRDefault="00434D2F" w:rsidP="00003135">
      <w:pPr>
        <w:pStyle w:val="HHLBodyText"/>
        <w:rPr>
          <w:b/>
        </w:rPr>
      </w:pPr>
      <w:r w:rsidRPr="00003135">
        <w:rPr>
          <w:b/>
        </w:rPr>
        <w:t>Our practice makes provision for 24-hour, 7-day/week face-to-face health care.</w:t>
      </w:r>
    </w:p>
    <w:tbl>
      <w:tblPr>
        <w:tblStyle w:val="TableGrid1"/>
        <w:tblW w:w="0" w:type="auto"/>
        <w:tblLook w:val="04A0" w:firstRow="1" w:lastRow="0" w:firstColumn="1" w:lastColumn="0" w:noHBand="0" w:noVBand="1"/>
      </w:tblPr>
      <w:tblGrid>
        <w:gridCol w:w="1151"/>
        <w:gridCol w:w="4539"/>
        <w:gridCol w:w="4052"/>
      </w:tblGrid>
      <w:tr w:rsidR="00434D2F" w:rsidRPr="00A81435" w14:paraId="130D8B23" w14:textId="77777777" w:rsidTr="004B6FB2">
        <w:tc>
          <w:tcPr>
            <w:tcW w:w="1153" w:type="dxa"/>
            <w:shd w:val="clear" w:color="auto" w:fill="FBD4B4" w:themeFill="accent6" w:themeFillTint="66"/>
          </w:tcPr>
          <w:p w14:paraId="55A01434" w14:textId="77777777" w:rsidR="00434D2F" w:rsidRPr="00A81435" w:rsidRDefault="00434D2F" w:rsidP="004B6FB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7933E9DA" w14:textId="77777777" w:rsidR="00434D2F" w:rsidRPr="00A81435" w:rsidRDefault="00434D2F" w:rsidP="004B6FB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579F3DAA" w14:textId="503C4852" w:rsidR="00434D2F" w:rsidRPr="00A81435" w:rsidRDefault="00434D2F" w:rsidP="004B6FB2">
            <w:pPr>
              <w:spacing w:before="120" w:after="120"/>
              <w:rPr>
                <w:b/>
                <w:color w:val="auto"/>
                <w:sz w:val="22"/>
                <w:szCs w:val="22"/>
              </w:rPr>
            </w:pPr>
            <w:r w:rsidRPr="00A81435">
              <w:rPr>
                <w:b/>
                <w:color w:val="auto"/>
                <w:sz w:val="22"/>
                <w:szCs w:val="22"/>
              </w:rPr>
              <w:t>Required evidence</w:t>
            </w:r>
          </w:p>
        </w:tc>
      </w:tr>
      <w:tr w:rsidR="00434D2F" w:rsidRPr="00A81435" w14:paraId="58FBCC31" w14:textId="77777777" w:rsidTr="004B6FB2">
        <w:tc>
          <w:tcPr>
            <w:tcW w:w="1153" w:type="dxa"/>
          </w:tcPr>
          <w:p w14:paraId="099F722B" w14:textId="39F6ADCC" w:rsidR="00434D2F" w:rsidRPr="00A81435" w:rsidRDefault="00434D2F" w:rsidP="004B6FB2">
            <w:pPr>
              <w:spacing w:before="60"/>
              <w:rPr>
                <w:color w:val="auto"/>
                <w:sz w:val="22"/>
                <w:szCs w:val="22"/>
              </w:rPr>
            </w:pPr>
            <w:r w:rsidRPr="00A81435">
              <w:rPr>
                <w:color w:val="auto"/>
                <w:sz w:val="22"/>
                <w:szCs w:val="22"/>
              </w:rPr>
              <w:t>1</w:t>
            </w:r>
            <w:r w:rsidR="009F4E7A">
              <w:rPr>
                <w:color w:val="auto"/>
                <w:sz w:val="22"/>
                <w:szCs w:val="22"/>
              </w:rPr>
              <w:t>6</w:t>
            </w:r>
            <w:r w:rsidRPr="00A81435">
              <w:rPr>
                <w:color w:val="auto"/>
                <w:sz w:val="22"/>
                <w:szCs w:val="22"/>
              </w:rPr>
              <w:t>.1</w:t>
            </w:r>
          </w:p>
        </w:tc>
        <w:tc>
          <w:tcPr>
            <w:tcW w:w="4568" w:type="dxa"/>
          </w:tcPr>
          <w:p w14:paraId="44EB94CB" w14:textId="14B37027" w:rsidR="00434D2F" w:rsidRPr="00884115" w:rsidRDefault="00884115" w:rsidP="004B6FB2">
            <w:pPr>
              <w:spacing w:before="60"/>
              <w:rPr>
                <w:rFonts w:cs="Arial"/>
                <w:color w:val="auto"/>
                <w:sz w:val="22"/>
                <w:szCs w:val="22"/>
              </w:rPr>
            </w:pPr>
            <w:r w:rsidRPr="00884115">
              <w:rPr>
                <w:rFonts w:cs="Arial"/>
                <w:color w:val="auto"/>
                <w:sz w:val="22"/>
                <w:szCs w:val="22"/>
              </w:rPr>
              <w:t>Provide patients with information on how to access after-hours care</w:t>
            </w:r>
            <w:r w:rsidR="004E18C6">
              <w:rPr>
                <w:rFonts w:cs="Arial"/>
                <w:color w:val="auto"/>
                <w:sz w:val="22"/>
                <w:szCs w:val="22"/>
              </w:rPr>
              <w:t>.</w:t>
            </w:r>
          </w:p>
        </w:tc>
        <w:tc>
          <w:tcPr>
            <w:tcW w:w="4075" w:type="dxa"/>
          </w:tcPr>
          <w:p w14:paraId="1CB7F9ED" w14:textId="46886D82" w:rsidR="00434D2F" w:rsidRPr="00A81435" w:rsidRDefault="00AB1697" w:rsidP="004B6FB2">
            <w:pPr>
              <w:spacing w:before="60"/>
              <w:rPr>
                <w:color w:val="auto"/>
                <w:sz w:val="22"/>
                <w:szCs w:val="22"/>
              </w:rPr>
            </w:pPr>
            <w:r>
              <w:rPr>
                <w:color w:val="auto"/>
                <w:sz w:val="22"/>
                <w:szCs w:val="22"/>
              </w:rPr>
              <w:t>S</w:t>
            </w:r>
            <w:r w:rsidR="00EF0D86" w:rsidRPr="00EF0D86">
              <w:rPr>
                <w:color w:val="auto"/>
                <w:sz w:val="22"/>
                <w:szCs w:val="22"/>
              </w:rPr>
              <w:t xml:space="preserve">ignage, </w:t>
            </w:r>
            <w:r>
              <w:rPr>
                <w:color w:val="auto"/>
                <w:sz w:val="22"/>
                <w:szCs w:val="22"/>
              </w:rPr>
              <w:t xml:space="preserve">including </w:t>
            </w:r>
            <w:r w:rsidR="00157A04">
              <w:rPr>
                <w:color w:val="auto"/>
                <w:sz w:val="22"/>
                <w:szCs w:val="22"/>
              </w:rPr>
              <w:t xml:space="preserve">a </w:t>
            </w:r>
            <w:r w:rsidR="00CF0024">
              <w:rPr>
                <w:color w:val="auto"/>
                <w:sz w:val="22"/>
                <w:szCs w:val="22"/>
              </w:rPr>
              <w:t xml:space="preserve">patient portal notice, website information, </w:t>
            </w:r>
            <w:r w:rsidR="0033414F">
              <w:rPr>
                <w:color w:val="auto"/>
                <w:sz w:val="22"/>
                <w:szCs w:val="22"/>
              </w:rPr>
              <w:t>social media page</w:t>
            </w:r>
            <w:r w:rsidR="00157A04">
              <w:rPr>
                <w:color w:val="auto"/>
                <w:sz w:val="22"/>
                <w:szCs w:val="22"/>
              </w:rPr>
              <w:t xml:space="preserve"> information</w:t>
            </w:r>
            <w:r w:rsidR="00B575C3">
              <w:rPr>
                <w:color w:val="auto"/>
                <w:sz w:val="22"/>
                <w:szCs w:val="22"/>
              </w:rPr>
              <w:t xml:space="preserve">, </w:t>
            </w:r>
            <w:r w:rsidR="00EF0D86" w:rsidRPr="00EF0D86">
              <w:rPr>
                <w:color w:val="auto"/>
                <w:sz w:val="22"/>
                <w:szCs w:val="22"/>
              </w:rPr>
              <w:t>patient info</w:t>
            </w:r>
            <w:r w:rsidR="00CF0024">
              <w:rPr>
                <w:color w:val="auto"/>
                <w:sz w:val="22"/>
                <w:szCs w:val="22"/>
              </w:rPr>
              <w:t>rmation</w:t>
            </w:r>
            <w:r w:rsidR="00EF0D86" w:rsidRPr="00EF0D86">
              <w:rPr>
                <w:color w:val="auto"/>
                <w:sz w:val="22"/>
                <w:szCs w:val="22"/>
              </w:rPr>
              <w:t xml:space="preserve"> sheets</w:t>
            </w:r>
            <w:r w:rsidR="00CF0024">
              <w:rPr>
                <w:color w:val="auto"/>
                <w:sz w:val="22"/>
                <w:szCs w:val="22"/>
              </w:rPr>
              <w:t xml:space="preserve"> and an</w:t>
            </w:r>
            <w:r w:rsidR="00EF0D86" w:rsidRPr="00EF0D86">
              <w:rPr>
                <w:color w:val="auto"/>
                <w:sz w:val="22"/>
                <w:szCs w:val="22"/>
              </w:rPr>
              <w:t xml:space="preserve"> answer phone service</w:t>
            </w:r>
            <w:r w:rsidR="00204461">
              <w:rPr>
                <w:color w:val="auto"/>
                <w:sz w:val="22"/>
                <w:szCs w:val="22"/>
              </w:rPr>
              <w:t>.</w:t>
            </w:r>
          </w:p>
        </w:tc>
      </w:tr>
      <w:tr w:rsidR="00434D2F" w:rsidRPr="00A81435" w14:paraId="0892F79E" w14:textId="77777777" w:rsidTr="004B6FB2">
        <w:tc>
          <w:tcPr>
            <w:tcW w:w="1153" w:type="dxa"/>
          </w:tcPr>
          <w:p w14:paraId="4ED55E80" w14:textId="1F1A91A2" w:rsidR="00434D2F" w:rsidRPr="00B21354" w:rsidRDefault="00434D2F" w:rsidP="004B6FB2">
            <w:pPr>
              <w:spacing w:before="60"/>
              <w:rPr>
                <w:color w:val="auto"/>
                <w:sz w:val="22"/>
                <w:szCs w:val="22"/>
              </w:rPr>
            </w:pPr>
            <w:r w:rsidRPr="00B21354">
              <w:rPr>
                <w:color w:val="auto"/>
                <w:sz w:val="22"/>
                <w:szCs w:val="22"/>
              </w:rPr>
              <w:t>1</w:t>
            </w:r>
            <w:r w:rsidR="009F4E7A">
              <w:rPr>
                <w:color w:val="auto"/>
                <w:sz w:val="22"/>
                <w:szCs w:val="22"/>
              </w:rPr>
              <w:t>6</w:t>
            </w:r>
            <w:r w:rsidRPr="00B21354">
              <w:rPr>
                <w:color w:val="auto"/>
                <w:sz w:val="22"/>
                <w:szCs w:val="22"/>
              </w:rPr>
              <w:t>.2</w:t>
            </w:r>
          </w:p>
        </w:tc>
        <w:tc>
          <w:tcPr>
            <w:tcW w:w="4568" w:type="dxa"/>
          </w:tcPr>
          <w:p w14:paraId="6A972126" w14:textId="42E252A6" w:rsidR="00434D2F" w:rsidRPr="00884115" w:rsidRDefault="00884115" w:rsidP="004B6FB2">
            <w:pPr>
              <w:spacing w:before="60"/>
              <w:rPr>
                <w:rFonts w:cs="Arial"/>
                <w:color w:val="auto"/>
                <w:sz w:val="22"/>
                <w:szCs w:val="22"/>
              </w:rPr>
            </w:pPr>
            <w:r w:rsidRPr="00884115">
              <w:rPr>
                <w:rFonts w:cs="Arial"/>
                <w:color w:val="auto"/>
                <w:sz w:val="22"/>
                <w:szCs w:val="22"/>
              </w:rPr>
              <w:t>Ensure patients can access your practice’s after-hours service using a maximum of two calls</w:t>
            </w:r>
            <w:r w:rsidR="004E18C6">
              <w:rPr>
                <w:rFonts w:cs="Arial"/>
                <w:color w:val="auto"/>
                <w:sz w:val="22"/>
                <w:szCs w:val="22"/>
              </w:rPr>
              <w:t>.</w:t>
            </w:r>
          </w:p>
        </w:tc>
        <w:tc>
          <w:tcPr>
            <w:tcW w:w="4075" w:type="dxa"/>
          </w:tcPr>
          <w:p w14:paraId="193E5D6E" w14:textId="591578AF" w:rsidR="00434D2F" w:rsidRPr="002B46CE" w:rsidRDefault="00273E1E" w:rsidP="00146AE9">
            <w:pPr>
              <w:spacing w:before="60" w:line="257" w:lineRule="auto"/>
              <w:ind w:left="14"/>
              <w:rPr>
                <w:color w:val="auto"/>
                <w:sz w:val="22"/>
                <w:szCs w:val="22"/>
              </w:rPr>
            </w:pPr>
            <w:r>
              <w:rPr>
                <w:color w:val="auto"/>
                <w:sz w:val="22"/>
                <w:szCs w:val="22"/>
              </w:rPr>
              <w:t xml:space="preserve">Demonstrate </w:t>
            </w:r>
            <w:r w:rsidR="00CF0024" w:rsidRPr="002B46CE">
              <w:rPr>
                <w:color w:val="auto"/>
                <w:sz w:val="22"/>
                <w:szCs w:val="22"/>
              </w:rPr>
              <w:t>After-hours telephone message and/or call diversion to after-hours provider.</w:t>
            </w:r>
          </w:p>
        </w:tc>
      </w:tr>
    </w:tbl>
    <w:p w14:paraId="39A4C340" w14:textId="77777777" w:rsidR="00A2111E" w:rsidRPr="005B2DE1" w:rsidRDefault="00A2111E" w:rsidP="00A2111E">
      <w:pPr>
        <w:pStyle w:val="HHLBodyText"/>
        <w:spacing w:before="240"/>
        <w:rPr>
          <w:b/>
          <w:sz w:val="22"/>
          <w:szCs w:val="22"/>
        </w:rPr>
      </w:pPr>
      <w:r w:rsidRPr="005B2DE1">
        <w:rPr>
          <w:b/>
          <w:sz w:val="22"/>
          <w:szCs w:val="22"/>
        </w:rPr>
        <w:t>Required training</w:t>
      </w:r>
    </w:p>
    <w:p w14:paraId="761C603C" w14:textId="7ED9E19E" w:rsidR="00A2111E" w:rsidRPr="00ED0CE6" w:rsidRDefault="00ED0CE6"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796CE87F" w14:textId="2DE6461C" w:rsidR="00884115" w:rsidRDefault="00884115" w:rsidP="00884115">
      <w:pPr>
        <w:spacing w:before="240" w:after="120"/>
        <w:rPr>
          <w:b/>
          <w:color w:val="auto"/>
          <w:sz w:val="22"/>
          <w:szCs w:val="22"/>
        </w:rPr>
      </w:pPr>
      <w:r w:rsidRPr="00A81435">
        <w:rPr>
          <w:b/>
          <w:color w:val="auto"/>
          <w:sz w:val="22"/>
          <w:szCs w:val="22"/>
        </w:rPr>
        <w:t>Guidance notes</w:t>
      </w:r>
    </w:p>
    <w:p w14:paraId="2D8415FC" w14:textId="1C1A8EB5" w:rsidR="00D1752C" w:rsidRPr="0043243F" w:rsidRDefault="00D1752C" w:rsidP="00D1752C">
      <w:pPr>
        <w:rPr>
          <w:rFonts w:cs="Arial"/>
          <w:color w:val="auto"/>
          <w:sz w:val="22"/>
          <w:szCs w:val="22"/>
        </w:rPr>
      </w:pPr>
      <w:r w:rsidRPr="0043243F">
        <w:rPr>
          <w:rFonts w:cs="Arial"/>
          <w:color w:val="auto"/>
          <w:sz w:val="22"/>
          <w:szCs w:val="22"/>
        </w:rPr>
        <w:t xml:space="preserve">After-hours primary health care is designed to meet the urgent needs of patients, which cannot be safely deferred until regular or local general practice services are next available. </w:t>
      </w:r>
    </w:p>
    <w:p w14:paraId="3F4C2BF4" w14:textId="77777777" w:rsidR="00D1752C" w:rsidRPr="0043243F" w:rsidRDefault="00D1752C" w:rsidP="003D7B50">
      <w:pPr>
        <w:spacing w:before="120"/>
        <w:rPr>
          <w:rFonts w:cs="Arial"/>
          <w:color w:val="auto"/>
          <w:sz w:val="22"/>
          <w:szCs w:val="22"/>
        </w:rPr>
      </w:pPr>
      <w:r w:rsidRPr="0043243F">
        <w:rPr>
          <w:rFonts w:cs="Arial"/>
          <w:color w:val="auto"/>
          <w:sz w:val="22"/>
          <w:szCs w:val="22"/>
        </w:rPr>
        <w:t xml:space="preserve">If your practice does not provide its own 24-hour care, patients must be able to access after-hours care or be directed to an alternative provider when they need it. Access to the after-hours provider must use methods that take into account local situations and allow flexibility in the arrangements. </w:t>
      </w:r>
    </w:p>
    <w:p w14:paraId="683F0D73" w14:textId="50D4EDF7" w:rsidR="00D1752C" w:rsidRPr="0043243F" w:rsidRDefault="00D1752C" w:rsidP="003D7B50">
      <w:pPr>
        <w:spacing w:before="120"/>
        <w:rPr>
          <w:rFonts w:cs="Arial"/>
          <w:color w:val="auto"/>
          <w:sz w:val="22"/>
          <w:szCs w:val="22"/>
        </w:rPr>
      </w:pPr>
      <w:r w:rsidRPr="0043243F">
        <w:rPr>
          <w:rFonts w:cs="Arial"/>
          <w:color w:val="auto"/>
          <w:sz w:val="22"/>
          <w:szCs w:val="22"/>
        </w:rPr>
        <w:t>Call diversion and voice messaging must provide explicit information about which service is providing access to care if after-hours care is not provided at your practice. If your practice does not provide</w:t>
      </w:r>
      <w:r w:rsidR="00B575C3">
        <w:rPr>
          <w:rFonts w:cs="Arial"/>
          <w:color w:val="auto"/>
          <w:sz w:val="22"/>
          <w:szCs w:val="22"/>
        </w:rPr>
        <w:t xml:space="preserve"> </w:t>
      </w:r>
      <w:r w:rsidR="00856407">
        <w:rPr>
          <w:rFonts w:cs="Arial"/>
          <w:color w:val="auto"/>
          <w:sz w:val="22"/>
          <w:szCs w:val="22"/>
        </w:rPr>
        <w:t>24-hour</w:t>
      </w:r>
      <w:r w:rsidRPr="0043243F">
        <w:rPr>
          <w:rFonts w:cs="Arial"/>
          <w:color w:val="auto"/>
          <w:sz w:val="22"/>
          <w:szCs w:val="22"/>
        </w:rPr>
        <w:t xml:space="preserve"> after-hours care, it must arrange for medical services to be covered 24 hours a day, seven days a week.</w:t>
      </w:r>
    </w:p>
    <w:p w14:paraId="55F3DE80" w14:textId="77777777" w:rsidR="00D1752C" w:rsidRPr="0043243F" w:rsidRDefault="00D1752C" w:rsidP="003D7B50">
      <w:pPr>
        <w:spacing w:before="120"/>
        <w:rPr>
          <w:rFonts w:cs="Arial"/>
          <w:color w:val="auto"/>
          <w:sz w:val="22"/>
          <w:szCs w:val="22"/>
        </w:rPr>
      </w:pPr>
      <w:r w:rsidRPr="0043243F">
        <w:rPr>
          <w:rFonts w:cs="Arial"/>
          <w:color w:val="auto"/>
          <w:sz w:val="22"/>
          <w:szCs w:val="22"/>
        </w:rPr>
        <w:t>Patients should be advised of the name, address and contact details of the after-hours provider.</w:t>
      </w:r>
    </w:p>
    <w:p w14:paraId="07ABB9A8" w14:textId="77777777" w:rsidR="00D1752C" w:rsidRPr="0043243F" w:rsidRDefault="00D1752C" w:rsidP="003D7B50">
      <w:pPr>
        <w:spacing w:after="120"/>
        <w:rPr>
          <w:rFonts w:cs="Arial"/>
          <w:color w:val="auto"/>
          <w:sz w:val="22"/>
          <w:szCs w:val="22"/>
        </w:rPr>
      </w:pPr>
      <w:r w:rsidRPr="0043243F">
        <w:rPr>
          <w:rFonts w:cs="Arial"/>
          <w:color w:val="auto"/>
          <w:sz w:val="22"/>
          <w:szCs w:val="22"/>
        </w:rPr>
        <w:t xml:space="preserve">Examples include but are not limited to: </w:t>
      </w:r>
    </w:p>
    <w:p w14:paraId="61FE1DBF" w14:textId="39623315" w:rsidR="00D1752C" w:rsidRPr="003134D5" w:rsidRDefault="00BF05CE" w:rsidP="008D486E">
      <w:pPr>
        <w:pStyle w:val="Bullets"/>
        <w:ind w:left="567" w:hanging="567"/>
        <w:rPr>
          <w:rFonts w:ascii="Arial" w:hAnsi="Arial" w:cs="Arial"/>
        </w:rPr>
      </w:pPr>
      <w:r w:rsidRPr="003134D5">
        <w:rPr>
          <w:rFonts w:ascii="Arial" w:hAnsi="Arial" w:cs="Arial"/>
        </w:rPr>
        <w:t>A</w:t>
      </w:r>
      <w:r w:rsidR="00D1752C" w:rsidRPr="003134D5">
        <w:rPr>
          <w:rFonts w:ascii="Arial" w:hAnsi="Arial" w:cs="Arial"/>
        </w:rPr>
        <w:t xml:space="preserve"> poster/signage on the front door/window in the event of a patient attending the premises when the practice is closed (include an address and preferably a map)</w:t>
      </w:r>
    </w:p>
    <w:p w14:paraId="6CC81FAC" w14:textId="4229024E" w:rsidR="00D1752C" w:rsidRPr="003134D5" w:rsidRDefault="00BF05CE" w:rsidP="008D486E">
      <w:pPr>
        <w:pStyle w:val="Bullets"/>
        <w:ind w:left="567" w:hanging="567"/>
        <w:rPr>
          <w:rFonts w:ascii="Arial" w:hAnsi="Arial" w:cs="Arial"/>
        </w:rPr>
      </w:pPr>
      <w:r w:rsidRPr="003134D5">
        <w:rPr>
          <w:rFonts w:ascii="Arial" w:hAnsi="Arial" w:cs="Arial"/>
        </w:rPr>
        <w:t>A</w:t>
      </w:r>
      <w:r w:rsidR="00D1752C" w:rsidRPr="003134D5">
        <w:rPr>
          <w:rFonts w:ascii="Arial" w:hAnsi="Arial" w:cs="Arial"/>
        </w:rPr>
        <w:t>n after-hours message on the answer phone</w:t>
      </w:r>
    </w:p>
    <w:p w14:paraId="5473E9EB" w14:textId="3A4A50A7" w:rsidR="00D1752C" w:rsidRPr="003134D5" w:rsidRDefault="00BF05CE" w:rsidP="008D486E">
      <w:pPr>
        <w:pStyle w:val="Bullets"/>
        <w:ind w:left="567" w:hanging="567"/>
        <w:rPr>
          <w:rFonts w:ascii="Arial" w:hAnsi="Arial" w:cs="Arial"/>
        </w:rPr>
      </w:pPr>
      <w:r w:rsidRPr="003134D5">
        <w:rPr>
          <w:rFonts w:ascii="Arial" w:hAnsi="Arial" w:cs="Arial"/>
        </w:rPr>
        <w:t>A</w:t>
      </w:r>
      <w:r w:rsidR="00D1752C" w:rsidRPr="003134D5">
        <w:rPr>
          <w:rFonts w:ascii="Arial" w:hAnsi="Arial" w:cs="Arial"/>
        </w:rPr>
        <w:t>n addition to the practice’s patient information pamphlet</w:t>
      </w:r>
    </w:p>
    <w:p w14:paraId="7DE1AD84" w14:textId="5004DE73" w:rsidR="00D1752C" w:rsidRPr="003134D5" w:rsidRDefault="00BF05CE" w:rsidP="008D486E">
      <w:pPr>
        <w:pStyle w:val="Bullets"/>
        <w:ind w:left="567" w:hanging="567"/>
        <w:rPr>
          <w:rFonts w:ascii="Arial" w:hAnsi="Arial" w:cs="Arial"/>
        </w:rPr>
      </w:pPr>
      <w:r w:rsidRPr="003134D5">
        <w:rPr>
          <w:rFonts w:ascii="Arial" w:hAnsi="Arial" w:cs="Arial"/>
        </w:rPr>
        <w:t>A</w:t>
      </w:r>
      <w:r w:rsidR="00D1752C" w:rsidRPr="003134D5">
        <w:rPr>
          <w:rFonts w:ascii="Arial" w:hAnsi="Arial" w:cs="Arial"/>
        </w:rPr>
        <w:t xml:space="preserve"> poster in the waiting area about the after-hours provider</w:t>
      </w:r>
    </w:p>
    <w:p w14:paraId="55CA964A" w14:textId="65D6BC10" w:rsidR="00D1752C" w:rsidRPr="003134D5" w:rsidRDefault="00BF05CE" w:rsidP="008D486E">
      <w:pPr>
        <w:pStyle w:val="Bullets"/>
        <w:ind w:left="567" w:hanging="567"/>
        <w:rPr>
          <w:rFonts w:ascii="Arial" w:hAnsi="Arial" w:cs="Arial"/>
        </w:rPr>
      </w:pPr>
      <w:r w:rsidRPr="003134D5">
        <w:rPr>
          <w:rFonts w:ascii="Arial" w:hAnsi="Arial" w:cs="Arial"/>
        </w:rPr>
        <w:t>T</w:t>
      </w:r>
      <w:r w:rsidR="00D1752C" w:rsidRPr="003134D5">
        <w:rPr>
          <w:rFonts w:ascii="Arial" w:hAnsi="Arial" w:cs="Arial"/>
        </w:rPr>
        <w:t>he practice website includes information on the after-hours provider</w:t>
      </w:r>
    </w:p>
    <w:p w14:paraId="57F4801B" w14:textId="77777777" w:rsidR="00D1752C" w:rsidRPr="0043243F" w:rsidRDefault="00D1752C" w:rsidP="003D7B50">
      <w:pPr>
        <w:spacing w:before="120"/>
        <w:rPr>
          <w:rFonts w:cs="Arial"/>
          <w:color w:val="auto"/>
          <w:sz w:val="22"/>
          <w:szCs w:val="22"/>
        </w:rPr>
      </w:pPr>
      <w:r w:rsidRPr="0043243F">
        <w:rPr>
          <w:rFonts w:cs="Arial"/>
          <w:color w:val="auto"/>
          <w:sz w:val="22"/>
          <w:szCs w:val="22"/>
        </w:rPr>
        <w:t xml:space="preserve">In some regions, especially urban areas, practices will be able to provide telephone access to the after-hours services using one call. At a minimum, patients must be able to access the after-hours service using a maximum of two calls. </w:t>
      </w:r>
    </w:p>
    <w:p w14:paraId="59E362E0" w14:textId="1AF37C8A" w:rsidR="00D1752C" w:rsidRPr="0043243F" w:rsidRDefault="00D1752C" w:rsidP="003D7B50">
      <w:pPr>
        <w:spacing w:before="120"/>
        <w:rPr>
          <w:rFonts w:cs="Arial"/>
          <w:color w:val="auto"/>
          <w:sz w:val="22"/>
          <w:szCs w:val="22"/>
        </w:rPr>
      </w:pPr>
      <w:r w:rsidRPr="0043243F">
        <w:rPr>
          <w:rFonts w:cs="Arial"/>
          <w:color w:val="auto"/>
          <w:sz w:val="22"/>
          <w:szCs w:val="22"/>
        </w:rPr>
        <w:t>Making it easy for patients to call an after-hours provider reduces the barriers to accessing care and enhances continuity of care.</w:t>
      </w:r>
    </w:p>
    <w:p w14:paraId="035507C4" w14:textId="770A2E50" w:rsidR="00D1752C" w:rsidRPr="0043243F" w:rsidRDefault="00D1752C" w:rsidP="003D7B50">
      <w:pPr>
        <w:spacing w:before="120"/>
        <w:rPr>
          <w:rFonts w:cs="Arial"/>
          <w:color w:val="auto"/>
          <w:sz w:val="22"/>
          <w:szCs w:val="22"/>
        </w:rPr>
      </w:pPr>
      <w:r w:rsidRPr="0043243F">
        <w:rPr>
          <w:rFonts w:cs="Arial"/>
          <w:color w:val="auto"/>
          <w:sz w:val="22"/>
          <w:szCs w:val="22"/>
        </w:rPr>
        <w:t xml:space="preserve">Telephone advice can reduce the number of face-to-face consultations when it is safe to do so, easing after-hours workloads. However, it is not always suitable for patients who need to see a GP or a nurse </w:t>
      </w:r>
      <w:hyperlink r:id="rId130" w:history="1">
        <w:r w:rsidRPr="0043243F">
          <w:rPr>
            <w:rFonts w:cs="Arial"/>
            <w:color w:val="auto"/>
            <w:sz w:val="22"/>
            <w:szCs w:val="22"/>
            <w:u w:color="0000FF"/>
          </w:rPr>
          <w:t>urgently</w:t>
        </w:r>
      </w:hyperlink>
      <w:r w:rsidRPr="0043243F">
        <w:rPr>
          <w:rFonts w:cs="Arial"/>
          <w:color w:val="auto"/>
          <w:sz w:val="22"/>
          <w:szCs w:val="22"/>
        </w:rPr>
        <w:t xml:space="preserve"> and some sort of provision for, or referral to, after-hours care should be made as appropriate (</w:t>
      </w:r>
      <w:r w:rsidR="002D3694" w:rsidRPr="0043243F">
        <w:rPr>
          <w:rFonts w:cs="Arial"/>
          <w:color w:val="auto"/>
          <w:sz w:val="22"/>
          <w:szCs w:val="22"/>
        </w:rPr>
        <w:t>e.g.</w:t>
      </w:r>
      <w:r w:rsidRPr="0043243F">
        <w:rPr>
          <w:rFonts w:cs="Arial"/>
          <w:color w:val="auto"/>
          <w:sz w:val="22"/>
          <w:szCs w:val="22"/>
        </w:rPr>
        <w:t xml:space="preserve"> an after-hours provider, emergency department, call an ambulance).</w:t>
      </w:r>
    </w:p>
    <w:p w14:paraId="700B0AFA" w14:textId="77777777" w:rsidR="00FA034F" w:rsidRDefault="00FA034F" w:rsidP="00884115">
      <w:pPr>
        <w:spacing w:before="240" w:after="120"/>
        <w:rPr>
          <w:b/>
          <w:color w:val="auto"/>
          <w:sz w:val="22"/>
          <w:szCs w:val="22"/>
        </w:rPr>
      </w:pPr>
    </w:p>
    <w:p w14:paraId="01D2EE99" w14:textId="77777777" w:rsidR="001B256A" w:rsidRDefault="001B256A">
      <w:pPr>
        <w:spacing w:after="0"/>
        <w:rPr>
          <w:b/>
          <w:color w:val="auto"/>
          <w:sz w:val="22"/>
          <w:szCs w:val="22"/>
        </w:rPr>
      </w:pPr>
      <w:r>
        <w:rPr>
          <w:b/>
          <w:color w:val="auto"/>
          <w:sz w:val="22"/>
          <w:szCs w:val="22"/>
        </w:rPr>
        <w:br w:type="page"/>
      </w:r>
    </w:p>
    <w:p w14:paraId="02185FE2" w14:textId="29390CF4" w:rsidR="005E042D" w:rsidRPr="00C55F31" w:rsidRDefault="00A85ACE" w:rsidP="00C55F31">
      <w:pPr>
        <w:pStyle w:val="HHLSubHeading"/>
        <w:numPr>
          <w:ilvl w:val="0"/>
          <w:numId w:val="0"/>
        </w:numPr>
      </w:pPr>
      <w:bookmarkStart w:id="55" w:name="_Toc6998676"/>
      <w:r w:rsidRPr="00C55F31">
        <w:lastRenderedPageBreak/>
        <w:t>Indicator 1</w:t>
      </w:r>
      <w:r w:rsidR="0074750D">
        <w:t>7</w:t>
      </w:r>
      <w:r w:rsidRPr="00C55F31">
        <w:t xml:space="preserve">. </w:t>
      </w:r>
      <w:r w:rsidR="005E042D" w:rsidRPr="00C55F31">
        <w:t>Screening and recall</w:t>
      </w:r>
      <w:bookmarkEnd w:id="55"/>
    </w:p>
    <w:p w14:paraId="63A8B6EC" w14:textId="571CACA7" w:rsidR="00A85ACE" w:rsidRPr="005E042D" w:rsidRDefault="00A85ACE" w:rsidP="005E042D">
      <w:pPr>
        <w:pStyle w:val="HHLBodyText"/>
        <w:rPr>
          <w:b/>
        </w:rPr>
      </w:pPr>
      <w:r w:rsidRPr="005E042D">
        <w:rPr>
          <w:b/>
        </w:rPr>
        <w:t xml:space="preserve">Our practice </w:t>
      </w:r>
      <w:r w:rsidR="00A84488" w:rsidRPr="005E042D">
        <w:rPr>
          <w:b/>
        </w:rPr>
        <w:t>maintains an effective screening and recall system</w:t>
      </w:r>
      <w:r w:rsidRPr="005E042D">
        <w:rPr>
          <w:b/>
        </w:rPr>
        <w:t>.</w:t>
      </w:r>
    </w:p>
    <w:tbl>
      <w:tblPr>
        <w:tblStyle w:val="TableGrid1"/>
        <w:tblW w:w="0" w:type="auto"/>
        <w:tblLook w:val="04A0" w:firstRow="1" w:lastRow="0" w:firstColumn="1" w:lastColumn="0" w:noHBand="0" w:noVBand="1"/>
      </w:tblPr>
      <w:tblGrid>
        <w:gridCol w:w="1151"/>
        <w:gridCol w:w="4539"/>
        <w:gridCol w:w="4052"/>
      </w:tblGrid>
      <w:tr w:rsidR="00A85ACE" w:rsidRPr="00A81435" w14:paraId="4E12D898" w14:textId="77777777" w:rsidTr="004B6FB2">
        <w:tc>
          <w:tcPr>
            <w:tcW w:w="1153" w:type="dxa"/>
            <w:shd w:val="clear" w:color="auto" w:fill="FBD4B4" w:themeFill="accent6" w:themeFillTint="66"/>
          </w:tcPr>
          <w:p w14:paraId="5A7E58F2" w14:textId="77777777" w:rsidR="00A85ACE" w:rsidRPr="00A81435" w:rsidRDefault="00A85ACE" w:rsidP="004B6FB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3C271441" w14:textId="77777777" w:rsidR="00A85ACE" w:rsidRPr="00A81435" w:rsidRDefault="00A85ACE" w:rsidP="004B6FB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4240E15F" w14:textId="74A3DEAB" w:rsidR="00A85ACE" w:rsidRPr="00A81435" w:rsidRDefault="00A85ACE" w:rsidP="004B6FB2">
            <w:pPr>
              <w:spacing w:before="120" w:after="120"/>
              <w:rPr>
                <w:b/>
                <w:color w:val="auto"/>
                <w:sz w:val="22"/>
                <w:szCs w:val="22"/>
              </w:rPr>
            </w:pPr>
            <w:r w:rsidRPr="00A81435">
              <w:rPr>
                <w:b/>
                <w:color w:val="auto"/>
                <w:sz w:val="22"/>
                <w:szCs w:val="22"/>
              </w:rPr>
              <w:t>Required evidence</w:t>
            </w:r>
          </w:p>
        </w:tc>
      </w:tr>
      <w:tr w:rsidR="00A85ACE" w:rsidRPr="00A81435" w14:paraId="48F6F501" w14:textId="77777777" w:rsidTr="004B6FB2">
        <w:tc>
          <w:tcPr>
            <w:tcW w:w="1153" w:type="dxa"/>
          </w:tcPr>
          <w:p w14:paraId="440C2C50" w14:textId="3D507E14" w:rsidR="00A85ACE" w:rsidRPr="00A81435" w:rsidRDefault="00A85ACE" w:rsidP="004B6FB2">
            <w:pPr>
              <w:spacing w:before="60"/>
              <w:rPr>
                <w:color w:val="auto"/>
                <w:sz w:val="22"/>
                <w:szCs w:val="22"/>
              </w:rPr>
            </w:pPr>
            <w:r w:rsidRPr="00A81435">
              <w:rPr>
                <w:color w:val="auto"/>
                <w:sz w:val="22"/>
                <w:szCs w:val="22"/>
              </w:rPr>
              <w:t>1</w:t>
            </w:r>
            <w:r w:rsidR="0074750D">
              <w:rPr>
                <w:color w:val="auto"/>
                <w:sz w:val="22"/>
                <w:szCs w:val="22"/>
              </w:rPr>
              <w:t>7</w:t>
            </w:r>
            <w:r w:rsidRPr="00A81435">
              <w:rPr>
                <w:color w:val="auto"/>
                <w:sz w:val="22"/>
                <w:szCs w:val="22"/>
              </w:rPr>
              <w:t>.1</w:t>
            </w:r>
          </w:p>
        </w:tc>
        <w:tc>
          <w:tcPr>
            <w:tcW w:w="4568" w:type="dxa"/>
          </w:tcPr>
          <w:p w14:paraId="220CE4E3" w14:textId="72EE235E" w:rsidR="00A85ACE" w:rsidRPr="00E9640E" w:rsidRDefault="00E9640E" w:rsidP="004B6FB2">
            <w:pPr>
              <w:spacing w:before="60"/>
              <w:rPr>
                <w:rFonts w:cs="Arial"/>
                <w:color w:val="auto"/>
                <w:sz w:val="22"/>
                <w:szCs w:val="22"/>
              </w:rPr>
            </w:pPr>
            <w:r w:rsidRPr="00E9640E">
              <w:rPr>
                <w:rFonts w:cs="Arial"/>
                <w:color w:val="auto"/>
                <w:sz w:val="22"/>
                <w:szCs w:val="22"/>
              </w:rPr>
              <w:t xml:space="preserve">Meet the </w:t>
            </w:r>
            <w:r w:rsidR="00EF42FF">
              <w:rPr>
                <w:rFonts w:cs="Arial"/>
                <w:color w:val="auto"/>
                <w:sz w:val="22"/>
                <w:szCs w:val="22"/>
              </w:rPr>
              <w:t xml:space="preserve">screening and </w:t>
            </w:r>
            <w:r w:rsidRPr="00E9640E">
              <w:rPr>
                <w:rFonts w:cs="Arial"/>
                <w:color w:val="auto"/>
                <w:sz w:val="22"/>
                <w:szCs w:val="22"/>
              </w:rPr>
              <w:t xml:space="preserve">recall </w:t>
            </w:r>
            <w:r w:rsidR="00EF42FF">
              <w:rPr>
                <w:rFonts w:cs="Arial"/>
                <w:color w:val="auto"/>
                <w:sz w:val="22"/>
                <w:szCs w:val="22"/>
              </w:rPr>
              <w:t xml:space="preserve">requirements </w:t>
            </w:r>
            <w:r w:rsidR="00085807">
              <w:rPr>
                <w:rFonts w:cs="Arial"/>
                <w:color w:val="auto"/>
                <w:sz w:val="22"/>
                <w:szCs w:val="22"/>
              </w:rPr>
              <w:t xml:space="preserve">for both the </w:t>
            </w:r>
            <w:r w:rsidRPr="00E9640E">
              <w:rPr>
                <w:rFonts w:cs="Arial"/>
                <w:color w:val="auto"/>
                <w:sz w:val="22"/>
                <w:szCs w:val="22"/>
              </w:rPr>
              <w:t xml:space="preserve">enrolled </w:t>
            </w:r>
            <w:r w:rsidR="00085807">
              <w:rPr>
                <w:rFonts w:cs="Arial"/>
                <w:color w:val="auto"/>
                <w:sz w:val="22"/>
                <w:szCs w:val="22"/>
              </w:rPr>
              <w:t xml:space="preserve">and </w:t>
            </w:r>
            <w:r w:rsidRPr="00E9640E">
              <w:rPr>
                <w:rFonts w:cs="Arial"/>
                <w:color w:val="auto"/>
                <w:sz w:val="22"/>
                <w:szCs w:val="22"/>
              </w:rPr>
              <w:t>eligible population as per the national screening programme</w:t>
            </w:r>
            <w:r w:rsidR="00085807">
              <w:rPr>
                <w:rFonts w:cs="Arial"/>
                <w:color w:val="auto"/>
                <w:sz w:val="22"/>
                <w:szCs w:val="22"/>
              </w:rPr>
              <w:t xml:space="preserve"> guidelines</w:t>
            </w:r>
            <w:r w:rsidRPr="00E9640E">
              <w:rPr>
                <w:rFonts w:cs="Arial"/>
                <w:color w:val="auto"/>
                <w:sz w:val="22"/>
                <w:szCs w:val="22"/>
              </w:rPr>
              <w:t>.</w:t>
            </w:r>
          </w:p>
        </w:tc>
        <w:tc>
          <w:tcPr>
            <w:tcW w:w="4075" w:type="dxa"/>
          </w:tcPr>
          <w:p w14:paraId="63B59A8D" w14:textId="3BB9FC86" w:rsidR="00A85ACE" w:rsidRPr="00A81435" w:rsidRDefault="00EF42FF" w:rsidP="004B6FB2">
            <w:pPr>
              <w:spacing w:before="60"/>
              <w:rPr>
                <w:color w:val="auto"/>
                <w:sz w:val="22"/>
                <w:szCs w:val="22"/>
              </w:rPr>
            </w:pPr>
            <w:r>
              <w:rPr>
                <w:color w:val="auto"/>
                <w:sz w:val="22"/>
                <w:szCs w:val="22"/>
              </w:rPr>
              <w:t>Demonstrates referral to</w:t>
            </w:r>
            <w:r w:rsidR="00085807">
              <w:rPr>
                <w:color w:val="auto"/>
                <w:sz w:val="22"/>
                <w:szCs w:val="22"/>
              </w:rPr>
              <w:t xml:space="preserve"> and </w:t>
            </w:r>
            <w:r w:rsidR="00146AE9">
              <w:rPr>
                <w:color w:val="auto"/>
                <w:sz w:val="22"/>
                <w:szCs w:val="22"/>
              </w:rPr>
              <w:t xml:space="preserve">/ </w:t>
            </w:r>
            <w:r>
              <w:rPr>
                <w:color w:val="auto"/>
                <w:sz w:val="22"/>
                <w:szCs w:val="22"/>
              </w:rPr>
              <w:t xml:space="preserve">or enrollment </w:t>
            </w:r>
            <w:r w:rsidR="00085807">
              <w:rPr>
                <w:color w:val="auto"/>
                <w:sz w:val="22"/>
                <w:szCs w:val="22"/>
              </w:rPr>
              <w:t>in the national population-based screening programmes.</w:t>
            </w:r>
          </w:p>
        </w:tc>
      </w:tr>
      <w:tr w:rsidR="00A85ACE" w:rsidRPr="00A81435" w14:paraId="73E675DF" w14:textId="77777777" w:rsidTr="004B6FB2">
        <w:tc>
          <w:tcPr>
            <w:tcW w:w="1153" w:type="dxa"/>
          </w:tcPr>
          <w:p w14:paraId="452202C7" w14:textId="5B1C992E" w:rsidR="00A85ACE" w:rsidRPr="00B21354" w:rsidRDefault="00A85ACE" w:rsidP="004B6FB2">
            <w:pPr>
              <w:spacing w:before="60"/>
              <w:rPr>
                <w:color w:val="auto"/>
                <w:sz w:val="22"/>
                <w:szCs w:val="22"/>
              </w:rPr>
            </w:pPr>
            <w:r w:rsidRPr="00B21354">
              <w:rPr>
                <w:color w:val="auto"/>
                <w:sz w:val="22"/>
                <w:szCs w:val="22"/>
              </w:rPr>
              <w:t>1</w:t>
            </w:r>
            <w:r w:rsidR="0074750D">
              <w:rPr>
                <w:color w:val="auto"/>
                <w:sz w:val="22"/>
                <w:szCs w:val="22"/>
              </w:rPr>
              <w:t>7</w:t>
            </w:r>
            <w:r w:rsidRPr="00B21354">
              <w:rPr>
                <w:color w:val="auto"/>
                <w:sz w:val="22"/>
                <w:szCs w:val="22"/>
              </w:rPr>
              <w:t>.2</w:t>
            </w:r>
          </w:p>
        </w:tc>
        <w:tc>
          <w:tcPr>
            <w:tcW w:w="4568" w:type="dxa"/>
          </w:tcPr>
          <w:p w14:paraId="44D156D9" w14:textId="392AFAE0" w:rsidR="00A85ACE" w:rsidRPr="00E9640E" w:rsidRDefault="00E9640E" w:rsidP="004B6FB2">
            <w:pPr>
              <w:spacing w:before="60"/>
              <w:rPr>
                <w:rFonts w:cs="Arial"/>
                <w:color w:val="auto"/>
                <w:sz w:val="22"/>
                <w:szCs w:val="22"/>
              </w:rPr>
            </w:pPr>
            <w:r w:rsidRPr="00E9640E">
              <w:rPr>
                <w:rFonts w:cs="Arial"/>
                <w:color w:val="auto"/>
                <w:sz w:val="22"/>
                <w:szCs w:val="22"/>
              </w:rPr>
              <w:t xml:space="preserve">Have one or more team members responsible for </w:t>
            </w:r>
            <w:r w:rsidR="00FC340D">
              <w:rPr>
                <w:rFonts w:cs="Arial"/>
                <w:color w:val="auto"/>
                <w:sz w:val="22"/>
                <w:szCs w:val="22"/>
              </w:rPr>
              <w:t xml:space="preserve">and trained in the </w:t>
            </w:r>
            <w:r w:rsidRPr="00E9640E">
              <w:rPr>
                <w:rFonts w:cs="Arial"/>
                <w:color w:val="auto"/>
                <w:sz w:val="22"/>
                <w:szCs w:val="22"/>
              </w:rPr>
              <w:t>recall proce</w:t>
            </w:r>
            <w:r w:rsidR="00FC340D">
              <w:rPr>
                <w:rFonts w:cs="Arial"/>
                <w:color w:val="auto"/>
                <w:sz w:val="22"/>
                <w:szCs w:val="22"/>
              </w:rPr>
              <w:t>dure</w:t>
            </w:r>
            <w:r>
              <w:rPr>
                <w:rFonts w:cs="Arial"/>
                <w:color w:val="auto"/>
                <w:sz w:val="22"/>
                <w:szCs w:val="22"/>
              </w:rPr>
              <w:t>.</w:t>
            </w:r>
          </w:p>
        </w:tc>
        <w:tc>
          <w:tcPr>
            <w:tcW w:w="4075" w:type="dxa"/>
          </w:tcPr>
          <w:p w14:paraId="2DFD9268" w14:textId="38B7AAB2" w:rsidR="00A85ACE" w:rsidRPr="00B21354" w:rsidRDefault="005A6D44" w:rsidP="004B6FB2">
            <w:pPr>
              <w:spacing w:before="60"/>
              <w:rPr>
                <w:color w:val="auto"/>
                <w:sz w:val="22"/>
                <w:szCs w:val="22"/>
              </w:rPr>
            </w:pPr>
            <w:r>
              <w:rPr>
                <w:color w:val="auto"/>
                <w:sz w:val="22"/>
                <w:szCs w:val="22"/>
                <w:lang w:val="en-NZ"/>
              </w:rPr>
              <w:t xml:space="preserve">Identify persons </w:t>
            </w:r>
            <w:r w:rsidR="00856407">
              <w:rPr>
                <w:color w:val="auto"/>
                <w:sz w:val="22"/>
                <w:szCs w:val="22"/>
                <w:lang w:val="en-NZ"/>
              </w:rPr>
              <w:t>responsible</w:t>
            </w:r>
            <w:r w:rsidR="00FC340D">
              <w:rPr>
                <w:color w:val="auto"/>
                <w:sz w:val="22"/>
                <w:szCs w:val="22"/>
                <w:lang w:val="en-NZ"/>
              </w:rPr>
              <w:t xml:space="preserve"> and the training they have </w:t>
            </w:r>
            <w:r w:rsidR="00ED3B10">
              <w:rPr>
                <w:color w:val="auto"/>
                <w:sz w:val="22"/>
                <w:szCs w:val="22"/>
                <w:lang w:val="en-NZ"/>
              </w:rPr>
              <w:t>received</w:t>
            </w:r>
            <w:r>
              <w:rPr>
                <w:color w:val="auto"/>
                <w:sz w:val="22"/>
                <w:szCs w:val="22"/>
                <w:lang w:val="en-NZ"/>
              </w:rPr>
              <w:t>.</w:t>
            </w:r>
          </w:p>
        </w:tc>
      </w:tr>
      <w:tr w:rsidR="00E9640E" w:rsidRPr="00A81435" w14:paraId="22188CE8" w14:textId="77777777" w:rsidTr="004B6FB2">
        <w:tc>
          <w:tcPr>
            <w:tcW w:w="1153" w:type="dxa"/>
          </w:tcPr>
          <w:p w14:paraId="182477E2" w14:textId="2FD39867" w:rsidR="00E9640E" w:rsidRPr="00B21354" w:rsidRDefault="00E9640E" w:rsidP="004B6FB2">
            <w:pPr>
              <w:spacing w:before="60"/>
              <w:rPr>
                <w:color w:val="auto"/>
                <w:sz w:val="22"/>
                <w:szCs w:val="22"/>
              </w:rPr>
            </w:pPr>
            <w:r>
              <w:rPr>
                <w:color w:val="auto"/>
                <w:sz w:val="22"/>
                <w:szCs w:val="22"/>
              </w:rPr>
              <w:t>1</w:t>
            </w:r>
            <w:r w:rsidR="0074750D">
              <w:rPr>
                <w:color w:val="auto"/>
                <w:sz w:val="22"/>
                <w:szCs w:val="22"/>
              </w:rPr>
              <w:t>7</w:t>
            </w:r>
            <w:r>
              <w:rPr>
                <w:color w:val="auto"/>
                <w:sz w:val="22"/>
                <w:szCs w:val="22"/>
              </w:rPr>
              <w:t>.3</w:t>
            </w:r>
          </w:p>
        </w:tc>
        <w:tc>
          <w:tcPr>
            <w:tcW w:w="4568" w:type="dxa"/>
          </w:tcPr>
          <w:p w14:paraId="4A17EAD9" w14:textId="57174D9C" w:rsidR="00E9640E" w:rsidRPr="00E9640E" w:rsidRDefault="00E9640E" w:rsidP="00E9640E">
            <w:pPr>
              <w:spacing w:before="60"/>
              <w:rPr>
                <w:rFonts w:cs="Arial"/>
                <w:color w:val="auto"/>
                <w:sz w:val="22"/>
                <w:szCs w:val="22"/>
              </w:rPr>
            </w:pPr>
            <w:r w:rsidRPr="00E9640E">
              <w:rPr>
                <w:rFonts w:cs="Arial"/>
                <w:color w:val="auto"/>
                <w:sz w:val="22"/>
                <w:szCs w:val="22"/>
              </w:rPr>
              <w:t>Ensure opportunistic screening is evidence-based</w:t>
            </w:r>
            <w:r>
              <w:rPr>
                <w:rFonts w:cs="Arial"/>
                <w:color w:val="auto"/>
                <w:sz w:val="22"/>
                <w:szCs w:val="22"/>
              </w:rPr>
              <w:t>.</w:t>
            </w:r>
          </w:p>
        </w:tc>
        <w:tc>
          <w:tcPr>
            <w:tcW w:w="4075" w:type="dxa"/>
          </w:tcPr>
          <w:p w14:paraId="12996731" w14:textId="3DFB18E8" w:rsidR="00E9640E" w:rsidRPr="00B21354" w:rsidRDefault="00085807" w:rsidP="004B6FB2">
            <w:pPr>
              <w:spacing w:before="60"/>
              <w:rPr>
                <w:color w:val="auto"/>
                <w:sz w:val="22"/>
                <w:szCs w:val="22"/>
              </w:rPr>
            </w:pPr>
            <w:r>
              <w:rPr>
                <w:color w:val="auto"/>
                <w:sz w:val="22"/>
                <w:szCs w:val="22"/>
                <w:lang w:val="en-NZ"/>
              </w:rPr>
              <w:t xml:space="preserve">Demonstrate where opportunistic </w:t>
            </w:r>
            <w:r w:rsidR="00146AE9">
              <w:rPr>
                <w:color w:val="auto"/>
                <w:sz w:val="22"/>
                <w:szCs w:val="22"/>
                <w:lang w:val="en-NZ"/>
              </w:rPr>
              <w:t xml:space="preserve">screening </w:t>
            </w:r>
            <w:r>
              <w:rPr>
                <w:color w:val="auto"/>
                <w:sz w:val="22"/>
                <w:szCs w:val="22"/>
                <w:lang w:val="en-NZ"/>
              </w:rPr>
              <w:t xml:space="preserve">is </w:t>
            </w:r>
            <w:r w:rsidR="00146AE9">
              <w:rPr>
                <w:color w:val="auto"/>
                <w:sz w:val="22"/>
                <w:szCs w:val="22"/>
                <w:lang w:val="en-NZ"/>
              </w:rPr>
              <w:t xml:space="preserve">being </w:t>
            </w:r>
            <w:r>
              <w:rPr>
                <w:color w:val="auto"/>
                <w:sz w:val="22"/>
                <w:szCs w:val="22"/>
                <w:lang w:val="en-NZ"/>
              </w:rPr>
              <w:t>delivered</w:t>
            </w:r>
            <w:r w:rsidR="00146AE9">
              <w:rPr>
                <w:color w:val="auto"/>
                <w:sz w:val="22"/>
                <w:szCs w:val="22"/>
                <w:lang w:val="en-NZ"/>
              </w:rPr>
              <w:t>, how it has been verified and how it aligns with</w:t>
            </w:r>
            <w:r>
              <w:rPr>
                <w:color w:val="auto"/>
                <w:sz w:val="22"/>
                <w:szCs w:val="22"/>
                <w:lang w:val="en-NZ"/>
              </w:rPr>
              <w:t xml:space="preserve"> best practice</w:t>
            </w:r>
            <w:r w:rsidR="00146AE9">
              <w:rPr>
                <w:color w:val="auto"/>
                <w:sz w:val="22"/>
                <w:szCs w:val="22"/>
                <w:lang w:val="en-NZ"/>
              </w:rPr>
              <w:t>.</w:t>
            </w:r>
            <w:r>
              <w:rPr>
                <w:color w:val="auto"/>
                <w:sz w:val="22"/>
                <w:szCs w:val="22"/>
                <w:lang w:val="en-NZ"/>
              </w:rPr>
              <w:t xml:space="preserve"> </w:t>
            </w:r>
          </w:p>
        </w:tc>
      </w:tr>
      <w:tr w:rsidR="00E9640E" w:rsidRPr="00A81435" w14:paraId="416FC902" w14:textId="77777777" w:rsidTr="004B6FB2">
        <w:tc>
          <w:tcPr>
            <w:tcW w:w="1153" w:type="dxa"/>
          </w:tcPr>
          <w:p w14:paraId="3401811A" w14:textId="4EC509BE" w:rsidR="00E9640E" w:rsidRPr="00B21354" w:rsidRDefault="00E9640E" w:rsidP="004B6FB2">
            <w:pPr>
              <w:spacing w:before="60"/>
              <w:rPr>
                <w:color w:val="auto"/>
                <w:sz w:val="22"/>
                <w:szCs w:val="22"/>
              </w:rPr>
            </w:pPr>
            <w:r>
              <w:rPr>
                <w:color w:val="auto"/>
                <w:sz w:val="22"/>
                <w:szCs w:val="22"/>
              </w:rPr>
              <w:t>1</w:t>
            </w:r>
            <w:r w:rsidR="0074750D">
              <w:rPr>
                <w:color w:val="auto"/>
                <w:sz w:val="22"/>
                <w:szCs w:val="22"/>
              </w:rPr>
              <w:t>7</w:t>
            </w:r>
            <w:r>
              <w:rPr>
                <w:color w:val="auto"/>
                <w:sz w:val="22"/>
                <w:szCs w:val="22"/>
              </w:rPr>
              <w:t>.4</w:t>
            </w:r>
          </w:p>
        </w:tc>
        <w:tc>
          <w:tcPr>
            <w:tcW w:w="4568" w:type="dxa"/>
          </w:tcPr>
          <w:p w14:paraId="38C2867B" w14:textId="34094678" w:rsidR="00E9640E" w:rsidRPr="00E9640E" w:rsidRDefault="00E9640E" w:rsidP="00E9640E">
            <w:pPr>
              <w:spacing w:before="60"/>
              <w:rPr>
                <w:rFonts w:cs="Arial"/>
                <w:color w:val="auto"/>
                <w:sz w:val="22"/>
                <w:szCs w:val="22"/>
              </w:rPr>
            </w:pPr>
            <w:r w:rsidRPr="00E9640E">
              <w:rPr>
                <w:rFonts w:cs="Arial"/>
                <w:color w:val="auto"/>
                <w:sz w:val="22"/>
                <w:szCs w:val="22"/>
              </w:rPr>
              <w:t>Audit screening and recall activities to review effectiveness in reaching eligible target populations</w:t>
            </w:r>
            <w:r>
              <w:rPr>
                <w:rFonts w:cs="Arial"/>
                <w:color w:val="auto"/>
                <w:sz w:val="22"/>
                <w:szCs w:val="22"/>
              </w:rPr>
              <w:t>.</w:t>
            </w:r>
          </w:p>
        </w:tc>
        <w:tc>
          <w:tcPr>
            <w:tcW w:w="4075" w:type="dxa"/>
          </w:tcPr>
          <w:p w14:paraId="19ADF3D4" w14:textId="1C4C0F9B" w:rsidR="00E9640E" w:rsidRPr="00B21354" w:rsidRDefault="00146AE9" w:rsidP="004B6FB2">
            <w:pPr>
              <w:spacing w:before="60"/>
              <w:rPr>
                <w:color w:val="auto"/>
                <w:sz w:val="22"/>
                <w:szCs w:val="22"/>
              </w:rPr>
            </w:pPr>
            <w:r>
              <w:rPr>
                <w:color w:val="auto"/>
                <w:sz w:val="22"/>
                <w:szCs w:val="22"/>
              </w:rPr>
              <w:t>Practice audits of enrolled and eligible populations and screening, recall and uptake .</w:t>
            </w:r>
          </w:p>
        </w:tc>
      </w:tr>
    </w:tbl>
    <w:p w14:paraId="7A411170" w14:textId="77777777" w:rsidR="00A2111E" w:rsidRPr="005B2DE1" w:rsidRDefault="00A2111E" w:rsidP="00A2111E">
      <w:pPr>
        <w:pStyle w:val="HHLBodyText"/>
        <w:spacing w:before="240"/>
        <w:rPr>
          <w:b/>
          <w:sz w:val="22"/>
          <w:szCs w:val="22"/>
        </w:rPr>
      </w:pPr>
      <w:r w:rsidRPr="005B2DE1">
        <w:rPr>
          <w:b/>
          <w:sz w:val="22"/>
          <w:szCs w:val="22"/>
        </w:rPr>
        <w:t>Required training</w:t>
      </w:r>
    </w:p>
    <w:p w14:paraId="20BEA914" w14:textId="36E1E92A" w:rsidR="008F568C" w:rsidRPr="00EF0A0E" w:rsidRDefault="00117A05"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6B44E0E6" w14:textId="2D1F4FA8" w:rsidR="00A85ACE" w:rsidRDefault="00A85ACE" w:rsidP="00A85ACE">
      <w:pPr>
        <w:spacing w:before="240" w:after="120"/>
        <w:rPr>
          <w:b/>
          <w:color w:val="auto"/>
          <w:sz w:val="22"/>
          <w:szCs w:val="22"/>
        </w:rPr>
      </w:pPr>
      <w:r w:rsidRPr="00A81435">
        <w:rPr>
          <w:b/>
          <w:color w:val="auto"/>
          <w:sz w:val="22"/>
          <w:szCs w:val="22"/>
        </w:rPr>
        <w:t>Guidance notes</w:t>
      </w:r>
    </w:p>
    <w:p w14:paraId="14FAD1E0" w14:textId="5E61C86E" w:rsidR="00802AE5" w:rsidRDefault="00802AE5" w:rsidP="00802AE5">
      <w:pPr>
        <w:pStyle w:val="HHLBodyText"/>
        <w:rPr>
          <w:sz w:val="22"/>
          <w:szCs w:val="22"/>
          <w:lang w:val="en-NZ"/>
        </w:rPr>
      </w:pPr>
      <w:r>
        <w:rPr>
          <w:sz w:val="22"/>
          <w:szCs w:val="22"/>
          <w:lang w:val="en-NZ"/>
        </w:rPr>
        <w:t xml:space="preserve">Screening is testing of asymptomatic patients. Opportunistic screening is screening outside of an organised program, either national or regional. </w:t>
      </w:r>
    </w:p>
    <w:p w14:paraId="755232D2" w14:textId="7D0A3CAE" w:rsidR="00802AE5" w:rsidRDefault="00802AE5" w:rsidP="00802AE5">
      <w:pPr>
        <w:pStyle w:val="HHLBodyText"/>
        <w:rPr>
          <w:b/>
          <w:sz w:val="22"/>
          <w:szCs w:val="22"/>
        </w:rPr>
      </w:pPr>
      <w:r>
        <w:rPr>
          <w:sz w:val="22"/>
          <w:szCs w:val="22"/>
        </w:rPr>
        <w:t>Practices should update the patient dashboard</w:t>
      </w:r>
      <w:r>
        <w:rPr>
          <w:sz w:val="22"/>
          <w:szCs w:val="22"/>
          <w:lang w:val="en-NZ"/>
        </w:rPr>
        <w:t xml:space="preserve"> (if </w:t>
      </w:r>
      <w:r w:rsidR="00856407">
        <w:rPr>
          <w:sz w:val="22"/>
          <w:szCs w:val="22"/>
          <w:lang w:val="en-NZ"/>
        </w:rPr>
        <w:t xml:space="preserve">used) </w:t>
      </w:r>
      <w:r w:rsidR="00856407">
        <w:rPr>
          <w:sz w:val="22"/>
          <w:szCs w:val="22"/>
        </w:rPr>
        <w:t>and</w:t>
      </w:r>
      <w:r>
        <w:rPr>
          <w:sz w:val="22"/>
          <w:szCs w:val="22"/>
        </w:rPr>
        <w:t xml:space="preserve"> recalls as required.</w:t>
      </w:r>
    </w:p>
    <w:p w14:paraId="3E18DE33" w14:textId="6D74A82F" w:rsidR="00054E0E" w:rsidRPr="007B3B94" w:rsidRDefault="00802AE5" w:rsidP="00802AE5">
      <w:pPr>
        <w:rPr>
          <w:color w:val="auto"/>
          <w:sz w:val="22"/>
          <w:szCs w:val="22"/>
        </w:rPr>
      </w:pPr>
      <w:r>
        <w:rPr>
          <w:color w:val="auto"/>
          <w:sz w:val="22"/>
          <w:szCs w:val="22"/>
        </w:rPr>
        <w:t xml:space="preserve">Offering </w:t>
      </w:r>
      <w:r>
        <w:rPr>
          <w:color w:val="auto"/>
          <w:sz w:val="22"/>
          <w:szCs w:val="22"/>
          <w:lang w:val="en-NZ"/>
        </w:rPr>
        <w:t xml:space="preserve">appropriate </w:t>
      </w:r>
      <w:r>
        <w:rPr>
          <w:color w:val="auto"/>
          <w:sz w:val="22"/>
          <w:szCs w:val="22"/>
        </w:rPr>
        <w:t xml:space="preserve">screening to presenting individuals </w:t>
      </w:r>
      <w:r>
        <w:rPr>
          <w:color w:val="auto"/>
          <w:sz w:val="22"/>
          <w:szCs w:val="22"/>
          <w:lang w:val="en-NZ"/>
        </w:rPr>
        <w:t xml:space="preserve">in addition to population-based screening may enable </w:t>
      </w:r>
      <w:r>
        <w:rPr>
          <w:color w:val="auto"/>
          <w:sz w:val="22"/>
          <w:szCs w:val="22"/>
        </w:rPr>
        <w:t>early detection of disease in a preclinical state</w:t>
      </w:r>
      <w:r>
        <w:rPr>
          <w:color w:val="auto"/>
          <w:sz w:val="22"/>
          <w:szCs w:val="22"/>
          <w:lang w:val="en-NZ"/>
        </w:rPr>
        <w:t>. It may also cause harm through detection of conditions that are not clinically significant or are untreatable. Therefore opportunistic screening should be based on good evidence that benefit outweighs harms.</w:t>
      </w:r>
    </w:p>
    <w:p w14:paraId="49A417B9" w14:textId="77777777" w:rsidR="00054E0E" w:rsidRPr="004606BF" w:rsidRDefault="00054E0E" w:rsidP="003134D5">
      <w:pPr>
        <w:pStyle w:val="HHLBodyText"/>
        <w:spacing w:before="240"/>
        <w:rPr>
          <w:i/>
        </w:rPr>
      </w:pPr>
      <w:r w:rsidRPr="004606BF">
        <w:rPr>
          <w:i/>
        </w:rPr>
        <w:t>The National Screening Unit</w:t>
      </w:r>
    </w:p>
    <w:p w14:paraId="372EE5E1" w14:textId="77777777" w:rsidR="00054E0E" w:rsidRPr="00821472" w:rsidRDefault="00054E0E" w:rsidP="00054E0E">
      <w:pPr>
        <w:rPr>
          <w:rFonts w:cs="Arial"/>
          <w:color w:val="auto"/>
          <w:sz w:val="22"/>
          <w:szCs w:val="22"/>
        </w:rPr>
      </w:pPr>
      <w:r w:rsidRPr="00821472">
        <w:rPr>
          <w:rFonts w:cs="Arial"/>
          <w:color w:val="auto"/>
          <w:sz w:val="22"/>
          <w:szCs w:val="22"/>
        </w:rPr>
        <w:t xml:space="preserve">The </w:t>
      </w:r>
      <w:hyperlink r:id="rId131" w:history="1">
        <w:r w:rsidRPr="00821472">
          <w:rPr>
            <w:rFonts w:cs="Arial"/>
            <w:color w:val="auto"/>
            <w:sz w:val="22"/>
            <w:szCs w:val="22"/>
            <w:u w:color="0000FF"/>
          </w:rPr>
          <w:t>National Screening Unit (NSU)</w:t>
        </w:r>
      </w:hyperlink>
      <w:r w:rsidRPr="00821472">
        <w:rPr>
          <w:rFonts w:cs="Arial"/>
          <w:color w:val="auto"/>
          <w:sz w:val="22"/>
          <w:szCs w:val="22"/>
        </w:rPr>
        <w:t xml:space="preserve"> is a separate unit of the Ministry of Health, and is responsible for the safety, effectiveness and quality of health and disability screening programmes:</w:t>
      </w:r>
    </w:p>
    <w:p w14:paraId="1D35C221" w14:textId="3B16D9E3" w:rsidR="00054E0E" w:rsidRPr="00821472" w:rsidRDefault="00CF1416" w:rsidP="008D486E">
      <w:pPr>
        <w:pStyle w:val="Bullets"/>
        <w:ind w:left="567" w:hanging="567"/>
        <w:rPr>
          <w:rFonts w:ascii="Arial" w:hAnsi="Arial" w:cs="Arial"/>
        </w:rPr>
      </w:pPr>
      <w:hyperlink r:id="rId132" w:history="1">
        <w:r w:rsidR="00054E0E" w:rsidRPr="00821472">
          <w:rPr>
            <w:rFonts w:ascii="Arial" w:hAnsi="Arial" w:cs="Arial"/>
          </w:rPr>
          <w:t>Antenatal HIV Screening Programme</w:t>
        </w:r>
      </w:hyperlink>
      <w:r w:rsidR="00054E0E" w:rsidRPr="00821472">
        <w:rPr>
          <w:rFonts w:ascii="Arial" w:hAnsi="Arial" w:cs="Arial"/>
        </w:rPr>
        <w:t xml:space="preserve"> – screens pregnant women for HIV to reduce the chances of HIV being passed to the baby</w:t>
      </w:r>
    </w:p>
    <w:p w14:paraId="32653A37" w14:textId="25A64D1C" w:rsidR="00054E0E" w:rsidRPr="00821472" w:rsidRDefault="00CF1416" w:rsidP="008D486E">
      <w:pPr>
        <w:pStyle w:val="Bullets"/>
        <w:ind w:left="567" w:hanging="567"/>
        <w:rPr>
          <w:rFonts w:ascii="Arial" w:hAnsi="Arial" w:cs="Arial"/>
        </w:rPr>
      </w:pPr>
      <w:hyperlink r:id="rId133" w:history="1">
        <w:r w:rsidR="00054E0E" w:rsidRPr="00821472">
          <w:rPr>
            <w:rFonts w:ascii="Arial" w:hAnsi="Arial" w:cs="Arial"/>
          </w:rPr>
          <w:t>Newborn Metabolic Screening Programme</w:t>
        </w:r>
      </w:hyperlink>
      <w:r w:rsidR="00054E0E" w:rsidRPr="00821472">
        <w:rPr>
          <w:rFonts w:ascii="Arial" w:hAnsi="Arial" w:cs="Arial"/>
        </w:rPr>
        <w:t xml:space="preserve"> – screens newborn babies for certain metabolic disorders</w:t>
      </w:r>
    </w:p>
    <w:p w14:paraId="70771BBB" w14:textId="73F2CC23" w:rsidR="00054E0E" w:rsidRPr="00821472" w:rsidRDefault="00CF1416" w:rsidP="008D486E">
      <w:pPr>
        <w:pStyle w:val="Bullets"/>
        <w:ind w:left="567" w:hanging="567"/>
        <w:rPr>
          <w:rFonts w:ascii="Arial" w:hAnsi="Arial" w:cs="Arial"/>
        </w:rPr>
      </w:pPr>
      <w:hyperlink r:id="rId134" w:history="1">
        <w:r w:rsidR="00054E0E" w:rsidRPr="00821472">
          <w:rPr>
            <w:rFonts w:ascii="Arial" w:hAnsi="Arial" w:cs="Arial"/>
          </w:rPr>
          <w:t>Universal Newborn Hearing Screening Programme</w:t>
        </w:r>
      </w:hyperlink>
      <w:r w:rsidR="00054E0E" w:rsidRPr="00821472">
        <w:rPr>
          <w:rFonts w:ascii="Arial" w:hAnsi="Arial" w:cs="Arial"/>
        </w:rPr>
        <w:t xml:space="preserve"> – screens newborn babies for hearing loss</w:t>
      </w:r>
    </w:p>
    <w:p w14:paraId="246FC747" w14:textId="448E4E54" w:rsidR="00054E0E" w:rsidRPr="00821472" w:rsidRDefault="00CF1416" w:rsidP="008D486E">
      <w:pPr>
        <w:pStyle w:val="Bullets"/>
        <w:ind w:left="567" w:hanging="567"/>
        <w:rPr>
          <w:rFonts w:ascii="Arial" w:hAnsi="Arial" w:cs="Arial"/>
        </w:rPr>
      </w:pPr>
      <w:hyperlink r:id="rId135" w:history="1">
        <w:r w:rsidR="00054E0E" w:rsidRPr="00821472">
          <w:rPr>
            <w:rFonts w:ascii="Arial" w:hAnsi="Arial" w:cs="Arial"/>
          </w:rPr>
          <w:t xml:space="preserve">Breast Screen Aotearoa </w:t>
        </w:r>
      </w:hyperlink>
      <w:r w:rsidR="00054E0E" w:rsidRPr="00821472">
        <w:rPr>
          <w:rFonts w:ascii="Arial" w:hAnsi="Arial" w:cs="Arial"/>
        </w:rPr>
        <w:t>– screens women for breast cancer</w:t>
      </w:r>
    </w:p>
    <w:p w14:paraId="6F3CA976" w14:textId="225FD0D9" w:rsidR="00054E0E" w:rsidRPr="00821472" w:rsidRDefault="00CF1416" w:rsidP="008D486E">
      <w:pPr>
        <w:pStyle w:val="Bullets"/>
        <w:ind w:left="567" w:hanging="567"/>
        <w:rPr>
          <w:rFonts w:ascii="Arial" w:hAnsi="Arial" w:cs="Arial"/>
        </w:rPr>
      </w:pPr>
      <w:hyperlink r:id="rId136" w:history="1">
        <w:r w:rsidR="00054E0E" w:rsidRPr="00821472">
          <w:rPr>
            <w:rFonts w:ascii="Arial" w:hAnsi="Arial" w:cs="Arial"/>
          </w:rPr>
          <w:t>National Cervical Screening Programme</w:t>
        </w:r>
      </w:hyperlink>
      <w:r w:rsidR="00054E0E" w:rsidRPr="00821472">
        <w:rPr>
          <w:rFonts w:ascii="Arial" w:hAnsi="Arial" w:cs="Arial"/>
        </w:rPr>
        <w:t xml:space="preserve"> – screens women for abnormal changes to cells on the cervix</w:t>
      </w:r>
    </w:p>
    <w:p w14:paraId="053DF654" w14:textId="50DBD0A0" w:rsidR="00054E0E" w:rsidRPr="00EF42FF" w:rsidRDefault="00CF1416" w:rsidP="008D486E">
      <w:pPr>
        <w:pStyle w:val="ListParagraph"/>
        <w:numPr>
          <w:ilvl w:val="0"/>
          <w:numId w:val="35"/>
        </w:numPr>
        <w:ind w:left="567" w:hanging="567"/>
        <w:rPr>
          <w:rFonts w:cs="Arial"/>
          <w:color w:val="auto"/>
          <w:sz w:val="22"/>
          <w:szCs w:val="22"/>
        </w:rPr>
      </w:pPr>
      <w:hyperlink r:id="rId137" w:history="1">
        <w:r w:rsidR="00054E0E" w:rsidRPr="00EF42FF">
          <w:rPr>
            <w:rStyle w:val="Hyperlink"/>
            <w:rFonts w:cs="Arial"/>
            <w:color w:val="auto"/>
            <w:sz w:val="22"/>
            <w:szCs w:val="22"/>
          </w:rPr>
          <w:t>National Bowel Screening Programme</w:t>
        </w:r>
      </w:hyperlink>
    </w:p>
    <w:p w14:paraId="67004702" w14:textId="77777777" w:rsidR="00054E0E" w:rsidRPr="009903F8" w:rsidRDefault="00054E0E" w:rsidP="003134D5">
      <w:pPr>
        <w:pStyle w:val="HHLBodyText"/>
        <w:spacing w:before="240"/>
        <w:rPr>
          <w:i/>
        </w:rPr>
      </w:pPr>
      <w:r w:rsidRPr="009903F8">
        <w:rPr>
          <w:i/>
        </w:rPr>
        <w:t>Auditing screening and recall activities</w:t>
      </w:r>
    </w:p>
    <w:p w14:paraId="10B0FD08" w14:textId="77777777" w:rsidR="00054E0E" w:rsidRPr="003F177E" w:rsidRDefault="00054E0E" w:rsidP="00054E0E">
      <w:pPr>
        <w:rPr>
          <w:rFonts w:cs="Arial"/>
          <w:color w:val="auto"/>
          <w:sz w:val="22"/>
          <w:szCs w:val="22"/>
        </w:rPr>
      </w:pPr>
      <w:r w:rsidRPr="003F177E">
        <w:rPr>
          <w:rFonts w:cs="Arial"/>
          <w:color w:val="auto"/>
          <w:sz w:val="22"/>
          <w:szCs w:val="22"/>
        </w:rPr>
        <w:t>At the root of all effective screening and recall activities is good information about your patients.</w:t>
      </w:r>
    </w:p>
    <w:p w14:paraId="70E7E58F" w14:textId="35BF54CD" w:rsidR="00054E0E" w:rsidRPr="003F177E" w:rsidRDefault="00054E0E" w:rsidP="00054E0E">
      <w:pPr>
        <w:rPr>
          <w:rFonts w:cs="Arial"/>
          <w:color w:val="auto"/>
          <w:sz w:val="22"/>
          <w:szCs w:val="22"/>
        </w:rPr>
      </w:pPr>
      <w:r w:rsidRPr="003F177E">
        <w:rPr>
          <w:rFonts w:cs="Arial"/>
          <w:color w:val="auto"/>
          <w:sz w:val="22"/>
          <w:szCs w:val="22"/>
        </w:rPr>
        <w:t>If you systematically use disease codes in your PMS (</w:t>
      </w:r>
      <w:r w:rsidR="002D3694" w:rsidRPr="003F177E">
        <w:rPr>
          <w:rFonts w:cs="Arial"/>
          <w:color w:val="auto"/>
          <w:sz w:val="22"/>
          <w:szCs w:val="22"/>
        </w:rPr>
        <w:t>e.g.</w:t>
      </w:r>
      <w:r w:rsidRPr="003F177E">
        <w:rPr>
          <w:rFonts w:cs="Arial"/>
          <w:color w:val="auto"/>
          <w:sz w:val="22"/>
          <w:szCs w:val="22"/>
        </w:rPr>
        <w:t xml:space="preserve"> READ, SNOMED), this will help classify your patients so you can identify those eligible for screening and those requiring recall, and identify any issues for particular groups in your population.</w:t>
      </w:r>
    </w:p>
    <w:p w14:paraId="0B5E8DFF" w14:textId="77777777" w:rsidR="00054E0E" w:rsidRPr="003F177E" w:rsidRDefault="00054E0E" w:rsidP="00054E0E">
      <w:pPr>
        <w:rPr>
          <w:rFonts w:cs="Arial"/>
          <w:color w:val="auto"/>
          <w:sz w:val="22"/>
          <w:szCs w:val="22"/>
        </w:rPr>
      </w:pPr>
      <w:r w:rsidRPr="003F177E">
        <w:rPr>
          <w:rFonts w:cs="Arial"/>
          <w:color w:val="auto"/>
          <w:sz w:val="22"/>
          <w:szCs w:val="22"/>
        </w:rPr>
        <w:lastRenderedPageBreak/>
        <w:t>Consider how you can:</w:t>
      </w:r>
    </w:p>
    <w:p w14:paraId="457A2A9B" w14:textId="378D0BA7"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I</w:t>
      </w:r>
      <w:r w:rsidR="00054E0E" w:rsidRPr="00F33DE4">
        <w:rPr>
          <w:rFonts w:ascii="Arial" w:hAnsi="Arial" w:cs="Arial"/>
        </w:rPr>
        <w:t>dentify patients eligible for screening and recall (</w:t>
      </w:r>
      <w:r w:rsidR="002D3694" w:rsidRPr="00F33DE4">
        <w:rPr>
          <w:rFonts w:ascii="Arial" w:hAnsi="Arial" w:cs="Arial"/>
        </w:rPr>
        <w:t>e.g.</w:t>
      </w:r>
      <w:r w:rsidR="00054E0E" w:rsidRPr="00F33DE4">
        <w:rPr>
          <w:rFonts w:ascii="Arial" w:hAnsi="Arial" w:cs="Arial"/>
        </w:rPr>
        <w:t xml:space="preserve"> query builds on the PMS)</w:t>
      </w:r>
    </w:p>
    <w:p w14:paraId="7AC15445" w14:textId="3904CB0D"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I</w:t>
      </w:r>
      <w:r w:rsidR="00054E0E" w:rsidRPr="00F33DE4">
        <w:rPr>
          <w:rFonts w:ascii="Arial" w:hAnsi="Arial" w:cs="Arial"/>
        </w:rPr>
        <w:t>dentify gaps and those patients who have missed out</w:t>
      </w:r>
    </w:p>
    <w:p w14:paraId="65CAE4B5" w14:textId="07EE9335"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C</w:t>
      </w:r>
      <w:r w:rsidR="00054E0E" w:rsidRPr="00F33DE4">
        <w:rPr>
          <w:rFonts w:ascii="Arial" w:hAnsi="Arial" w:cs="Arial"/>
        </w:rPr>
        <w:t>ommunicate with eligible patients in a way that suits them (</w:t>
      </w:r>
      <w:r w:rsidR="002D3694" w:rsidRPr="00F33DE4">
        <w:rPr>
          <w:rFonts w:ascii="Arial" w:hAnsi="Arial" w:cs="Arial"/>
        </w:rPr>
        <w:t>e.g.</w:t>
      </w:r>
      <w:r w:rsidR="00054E0E" w:rsidRPr="00F33DE4">
        <w:rPr>
          <w:rFonts w:ascii="Arial" w:hAnsi="Arial" w:cs="Arial"/>
        </w:rPr>
        <w:t xml:space="preserve"> texts, telephone, letters, email)</w:t>
      </w:r>
    </w:p>
    <w:p w14:paraId="33B4E785" w14:textId="669217CB"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W</w:t>
      </w:r>
      <w:r w:rsidR="00054E0E" w:rsidRPr="00F33DE4">
        <w:rPr>
          <w:rFonts w:ascii="Arial" w:hAnsi="Arial" w:cs="Arial"/>
        </w:rPr>
        <w:t>ork with other organisations and agencies to come up with strategies to reach all your target populations (</w:t>
      </w:r>
      <w:r w:rsidR="002D3694" w:rsidRPr="00F33DE4">
        <w:rPr>
          <w:rFonts w:ascii="Arial" w:hAnsi="Arial" w:cs="Arial"/>
        </w:rPr>
        <w:t>e.g.</w:t>
      </w:r>
      <w:r w:rsidR="00054E0E" w:rsidRPr="00F33DE4">
        <w:rPr>
          <w:rFonts w:ascii="Arial" w:hAnsi="Arial" w:cs="Arial"/>
        </w:rPr>
        <w:t xml:space="preserve"> outreach services)</w:t>
      </w:r>
    </w:p>
    <w:p w14:paraId="3E22A525" w14:textId="0DA7A1CA"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I</w:t>
      </w:r>
      <w:r w:rsidR="00054E0E" w:rsidRPr="00F33DE4">
        <w:rPr>
          <w:rFonts w:ascii="Arial" w:hAnsi="Arial" w:cs="Arial"/>
        </w:rPr>
        <w:t>mprove uptake by eligible populations</w:t>
      </w:r>
    </w:p>
    <w:p w14:paraId="52264F63" w14:textId="72F66A18"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I</w:t>
      </w:r>
      <w:r w:rsidR="00054E0E" w:rsidRPr="00F33DE4">
        <w:rPr>
          <w:rFonts w:ascii="Arial" w:hAnsi="Arial" w:cs="Arial"/>
        </w:rPr>
        <w:t>dentify and reduce inequities for people in different groups in your population</w:t>
      </w:r>
    </w:p>
    <w:p w14:paraId="22C065BA" w14:textId="7250FEE5"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E</w:t>
      </w:r>
      <w:r w:rsidR="00054E0E" w:rsidRPr="00F33DE4">
        <w:rPr>
          <w:rFonts w:ascii="Arial" w:hAnsi="Arial" w:cs="Arial"/>
        </w:rPr>
        <w:t>ngage with and raise awareness in under-screened populations (</w:t>
      </w:r>
      <w:r w:rsidR="002D3694" w:rsidRPr="00F33DE4">
        <w:rPr>
          <w:rFonts w:ascii="Arial" w:hAnsi="Arial" w:cs="Arial"/>
        </w:rPr>
        <w:t>e.g.</w:t>
      </w:r>
      <w:r w:rsidR="00054E0E" w:rsidRPr="00F33DE4">
        <w:rPr>
          <w:rFonts w:ascii="Arial" w:hAnsi="Arial" w:cs="Arial"/>
        </w:rPr>
        <w:t xml:space="preserve"> education sessions, resources)</w:t>
      </w:r>
    </w:p>
    <w:p w14:paraId="4A0B6577" w14:textId="22A3AED8" w:rsidR="00054E0E" w:rsidRPr="00F33DE4" w:rsidRDefault="005303E3" w:rsidP="008D486E">
      <w:pPr>
        <w:pStyle w:val="Bullets-LAST"/>
        <w:numPr>
          <w:ilvl w:val="0"/>
          <w:numId w:val="10"/>
        </w:numPr>
        <w:spacing w:after="60"/>
        <w:ind w:left="576" w:hanging="576"/>
        <w:rPr>
          <w:rFonts w:ascii="Arial" w:hAnsi="Arial" w:cs="Arial"/>
        </w:rPr>
      </w:pPr>
      <w:r>
        <w:rPr>
          <w:rFonts w:ascii="Arial" w:hAnsi="Arial" w:cs="Arial"/>
        </w:rPr>
        <w:t>H</w:t>
      </w:r>
      <w:r w:rsidR="00054E0E" w:rsidRPr="00F33DE4">
        <w:rPr>
          <w:rFonts w:ascii="Arial" w:hAnsi="Arial" w:cs="Arial"/>
        </w:rPr>
        <w:t>elp remove barriers for patients (</w:t>
      </w:r>
      <w:r w:rsidR="002D3694" w:rsidRPr="00F33DE4">
        <w:rPr>
          <w:rFonts w:ascii="Arial" w:hAnsi="Arial" w:cs="Arial"/>
        </w:rPr>
        <w:t>e.g.</w:t>
      </w:r>
      <w:r w:rsidR="00054E0E" w:rsidRPr="00F33DE4">
        <w:rPr>
          <w:rFonts w:ascii="Arial" w:hAnsi="Arial" w:cs="Arial"/>
        </w:rPr>
        <w:t xml:space="preserve"> by arranging transport, evening and weekend clinics, mobile services, outreach programmes). For an example see </w:t>
      </w:r>
      <w:hyperlink r:id="rId138" w:history="1">
        <w:r w:rsidR="00054E0E" w:rsidRPr="00F33DE4">
          <w:rPr>
            <w:rFonts w:ascii="Arial" w:hAnsi="Arial" w:cs="Arial"/>
          </w:rPr>
          <w:t>How to increase the uptake of cervical screening: a profile of success</w:t>
        </w:r>
      </w:hyperlink>
      <w:r w:rsidR="00054E0E" w:rsidRPr="00F33DE4">
        <w:rPr>
          <w:rFonts w:ascii="Arial" w:hAnsi="Arial" w:cs="Arial"/>
        </w:rPr>
        <w:t xml:space="preserve">. </w:t>
      </w:r>
    </w:p>
    <w:p w14:paraId="3240585A" w14:textId="217D3180" w:rsidR="00054E0E" w:rsidRPr="003F177E" w:rsidRDefault="00054E0E" w:rsidP="00054E0E">
      <w:pPr>
        <w:rPr>
          <w:rFonts w:cs="Arial"/>
          <w:color w:val="auto"/>
          <w:sz w:val="22"/>
          <w:szCs w:val="22"/>
        </w:rPr>
      </w:pPr>
      <w:r w:rsidRPr="003F177E">
        <w:rPr>
          <w:rFonts w:cs="Arial"/>
          <w:color w:val="auto"/>
          <w:sz w:val="22"/>
          <w:szCs w:val="22"/>
        </w:rPr>
        <w:t>Having good data and using coding also enables you to audit your population to identify outcomes for patients in national screening and recall programmes. For example, have your patients benefited from being linked to programmes such as cervical screening? In addition, specific characteristics identified (</w:t>
      </w:r>
      <w:r w:rsidR="002D3694" w:rsidRPr="003F177E">
        <w:rPr>
          <w:rFonts w:cs="Arial"/>
          <w:color w:val="auto"/>
          <w:sz w:val="22"/>
          <w:szCs w:val="22"/>
        </w:rPr>
        <w:t>e.g.</w:t>
      </w:r>
      <w:r w:rsidRPr="003F177E">
        <w:rPr>
          <w:rFonts w:cs="Arial"/>
          <w:color w:val="auto"/>
          <w:sz w:val="22"/>
          <w:szCs w:val="22"/>
        </w:rPr>
        <w:t xml:space="preserve"> age, gender or ethnicity) may be a precursor to diagnosis or treatment.</w:t>
      </w:r>
    </w:p>
    <w:p w14:paraId="698A5187" w14:textId="77777777" w:rsidR="00054E0E" w:rsidRPr="003F177E" w:rsidRDefault="00054E0E" w:rsidP="00054E0E">
      <w:pPr>
        <w:rPr>
          <w:rFonts w:cs="Arial"/>
          <w:color w:val="auto"/>
          <w:sz w:val="22"/>
          <w:szCs w:val="22"/>
        </w:rPr>
      </w:pPr>
      <w:r w:rsidRPr="003F177E">
        <w:rPr>
          <w:rFonts w:cs="Arial"/>
          <w:color w:val="auto"/>
          <w:sz w:val="22"/>
          <w:szCs w:val="22"/>
        </w:rPr>
        <w:t xml:space="preserve">Click here </w:t>
      </w:r>
      <w:r w:rsidRPr="003F177E">
        <w:rPr>
          <w:rStyle w:val="Hyperlink"/>
          <w:rFonts w:cs="Arial"/>
          <w:color w:val="auto"/>
          <w:sz w:val="22"/>
          <w:szCs w:val="22"/>
        </w:rPr>
        <w:t>for NSU</w:t>
      </w:r>
      <w:hyperlink r:id="rId139" w:history="1">
        <w:r w:rsidRPr="003F177E">
          <w:rPr>
            <w:rStyle w:val="Hyperlink"/>
            <w:rFonts w:cs="Arial"/>
            <w:color w:val="auto"/>
            <w:sz w:val="22"/>
            <w:szCs w:val="22"/>
          </w:rPr>
          <w:t>’s Programme Information requests</w:t>
        </w:r>
      </w:hyperlink>
      <w:r w:rsidRPr="003F177E">
        <w:rPr>
          <w:rFonts w:cs="Arial"/>
          <w:color w:val="auto"/>
          <w:sz w:val="22"/>
          <w:szCs w:val="22"/>
        </w:rPr>
        <w:t>.</w:t>
      </w:r>
    </w:p>
    <w:p w14:paraId="7A66AA44" w14:textId="77777777" w:rsidR="00054E0E" w:rsidRPr="003F177E" w:rsidRDefault="00054E0E" w:rsidP="00054E0E">
      <w:pPr>
        <w:rPr>
          <w:rFonts w:cs="Arial"/>
          <w:color w:val="auto"/>
          <w:sz w:val="22"/>
          <w:szCs w:val="22"/>
        </w:rPr>
      </w:pPr>
      <w:r w:rsidRPr="003F177E">
        <w:rPr>
          <w:rFonts w:cs="Arial"/>
          <w:color w:val="auto"/>
          <w:sz w:val="22"/>
          <w:szCs w:val="22"/>
        </w:rPr>
        <w:t xml:space="preserve">Important </w:t>
      </w:r>
      <w:hyperlink r:id="rId140" w:history="1">
        <w:r w:rsidRPr="003F177E">
          <w:rPr>
            <w:rStyle w:val="Hyperlink"/>
            <w:rFonts w:cs="Arial"/>
            <w:color w:val="auto"/>
            <w:sz w:val="22"/>
            <w:szCs w:val="22"/>
          </w:rPr>
          <w:t>Quality principles</w:t>
        </w:r>
        <w:r w:rsidRPr="003F177E">
          <w:rPr>
            <w:rFonts w:cs="Arial"/>
            <w:color w:val="auto"/>
            <w:sz w:val="22"/>
            <w:szCs w:val="22"/>
            <w:u w:color="0000FF"/>
          </w:rPr>
          <w:t xml:space="preserve"> </w:t>
        </w:r>
      </w:hyperlink>
      <w:r w:rsidRPr="003F177E">
        <w:rPr>
          <w:rFonts w:cs="Arial"/>
          <w:color w:val="auto"/>
          <w:sz w:val="22"/>
          <w:szCs w:val="22"/>
        </w:rPr>
        <w:t>to keep in mind are outlined by the NSU.</w:t>
      </w:r>
    </w:p>
    <w:p w14:paraId="7BBAECCF" w14:textId="1388A895" w:rsidR="00A85ACE" w:rsidRDefault="00A85ACE" w:rsidP="00A85ACE">
      <w:pPr>
        <w:spacing w:before="240" w:after="120"/>
        <w:rPr>
          <w:b/>
          <w:color w:val="auto"/>
          <w:sz w:val="22"/>
          <w:szCs w:val="22"/>
        </w:rPr>
      </w:pPr>
      <w:r w:rsidRPr="00A81435">
        <w:rPr>
          <w:b/>
          <w:color w:val="auto"/>
          <w:sz w:val="22"/>
          <w:szCs w:val="22"/>
        </w:rPr>
        <w:t>Resources</w:t>
      </w:r>
    </w:p>
    <w:p w14:paraId="4D581D33" w14:textId="77777777" w:rsidR="0028498F" w:rsidRPr="005D5F27" w:rsidRDefault="00CF1416" w:rsidP="0024030C">
      <w:pPr>
        <w:pStyle w:val="Resourcelist"/>
        <w:spacing w:after="120"/>
        <w:rPr>
          <w:rStyle w:val="Hyperlink"/>
          <w:rFonts w:ascii="Arial" w:hAnsi="Arial" w:cs="Arial"/>
          <w:color w:val="0000FF"/>
        </w:rPr>
      </w:pPr>
      <w:hyperlink r:id="rId141" w:history="1">
        <w:r w:rsidR="0028498F" w:rsidRPr="005D5F27">
          <w:rPr>
            <w:rStyle w:val="Hyperlink"/>
            <w:rFonts w:ascii="Arial" w:hAnsi="Arial" w:cs="Arial"/>
            <w:color w:val="0000FF"/>
          </w:rPr>
          <w:t>National Screening Unit</w:t>
        </w:r>
      </w:hyperlink>
    </w:p>
    <w:p w14:paraId="0C918632" w14:textId="07E1728B" w:rsidR="0028498F" w:rsidRPr="005D5F27" w:rsidRDefault="0028498F" w:rsidP="0024030C">
      <w:pPr>
        <w:pStyle w:val="Resourcelist"/>
        <w:spacing w:after="120"/>
        <w:rPr>
          <w:rStyle w:val="Hyperlink"/>
          <w:rFonts w:ascii="Arial" w:hAnsi="Arial" w:cs="Arial"/>
          <w:color w:val="0000FF"/>
        </w:rPr>
      </w:pPr>
      <w:r w:rsidRPr="005D5F27">
        <w:rPr>
          <w:rStyle w:val="Hyperlink"/>
          <w:rFonts w:ascii="Arial" w:hAnsi="Arial" w:cs="Arial"/>
          <w:color w:val="0000FF"/>
        </w:rPr>
        <w:fldChar w:fldCharType="begin"/>
      </w:r>
      <w:r w:rsidRPr="005D5F27">
        <w:rPr>
          <w:rStyle w:val="Hyperlink"/>
          <w:rFonts w:ascii="Arial" w:hAnsi="Arial" w:cs="Arial"/>
          <w:color w:val="0000FF"/>
        </w:rPr>
        <w:instrText>HYPERLINK  "https://www.mcnz.org.nz/assets/News-and-Publications/Statements/Information-choice-of-treatment-and-informed-consent.pdf"</w:instrText>
      </w:r>
      <w:r w:rsidRPr="005D5F27">
        <w:rPr>
          <w:rStyle w:val="Hyperlink"/>
          <w:rFonts w:ascii="Arial" w:hAnsi="Arial" w:cs="Arial"/>
          <w:color w:val="0000FF"/>
        </w:rPr>
        <w:fldChar w:fldCharType="separate"/>
      </w:r>
      <w:r w:rsidRPr="005D5F27">
        <w:rPr>
          <w:rStyle w:val="Hyperlink"/>
          <w:rFonts w:ascii="Arial" w:hAnsi="Arial" w:cs="Arial"/>
          <w:color w:val="0000FF"/>
        </w:rPr>
        <w:t>MCNZ: Information, choice of treatment and informed consent</w:t>
      </w:r>
    </w:p>
    <w:p w14:paraId="6DF2C8EA" w14:textId="62AFBA0C" w:rsidR="0028498F" w:rsidRPr="005D5F27" w:rsidRDefault="0028498F" w:rsidP="0024030C">
      <w:pPr>
        <w:pStyle w:val="Resourcelist"/>
        <w:spacing w:after="120"/>
        <w:rPr>
          <w:rStyle w:val="Hyperlink"/>
          <w:rFonts w:ascii="Arial" w:hAnsi="Arial" w:cs="Arial"/>
          <w:color w:val="0000FF"/>
        </w:rPr>
      </w:pPr>
      <w:r w:rsidRPr="005D5F27">
        <w:rPr>
          <w:rStyle w:val="Hyperlink"/>
          <w:rFonts w:ascii="Arial" w:hAnsi="Arial" w:cs="Arial"/>
          <w:color w:val="0000FF"/>
        </w:rPr>
        <w:fldChar w:fldCharType="end"/>
      </w:r>
      <w:r w:rsidRPr="005D5F27">
        <w:rPr>
          <w:rStyle w:val="Hyperlink"/>
          <w:rFonts w:ascii="Arial" w:hAnsi="Arial" w:cs="Arial"/>
          <w:color w:val="0000FF"/>
        </w:rPr>
        <w:fldChar w:fldCharType="begin"/>
      </w:r>
      <w:r w:rsidRPr="005D5F27">
        <w:rPr>
          <w:rStyle w:val="Hyperlink"/>
          <w:rFonts w:ascii="Arial" w:hAnsi="Arial" w:cs="Arial"/>
          <w:color w:val="0000FF"/>
        </w:rPr>
        <w:instrText>HYPERLINK  "http://www.otago.ac.nz/wellington/otago019738.pdf"</w:instrText>
      </w:r>
      <w:r w:rsidRPr="005D5F27">
        <w:rPr>
          <w:rStyle w:val="Hyperlink"/>
          <w:rFonts w:ascii="Arial" w:hAnsi="Arial" w:cs="Arial"/>
          <w:color w:val="0000FF"/>
        </w:rPr>
        <w:fldChar w:fldCharType="separate"/>
      </w:r>
      <w:r w:rsidRPr="005D5F27">
        <w:rPr>
          <w:rStyle w:val="Hyperlink"/>
          <w:rFonts w:ascii="Arial" w:hAnsi="Arial" w:cs="Arial"/>
          <w:color w:val="0000FF"/>
        </w:rPr>
        <w:t xml:space="preserve">Inequalities in cancer screening </w:t>
      </w:r>
      <w:proofErr w:type="spellStart"/>
      <w:r w:rsidRPr="005D5F27">
        <w:rPr>
          <w:rStyle w:val="Hyperlink"/>
          <w:rFonts w:ascii="Arial" w:hAnsi="Arial" w:cs="Arial"/>
          <w:color w:val="0000FF"/>
        </w:rPr>
        <w:t>programmes</w:t>
      </w:r>
      <w:proofErr w:type="spellEnd"/>
    </w:p>
    <w:p w14:paraId="69B081D6" w14:textId="4908B25F" w:rsidR="005D5F27" w:rsidRDefault="0028498F" w:rsidP="005D5F27">
      <w:pPr>
        <w:pStyle w:val="Resourcelist"/>
        <w:spacing w:after="120"/>
        <w:rPr>
          <w:rFonts w:cs="Arial"/>
          <w:color w:val="17365D" w:themeColor="text2" w:themeShade="BF"/>
          <w:szCs w:val="22"/>
        </w:rPr>
      </w:pPr>
      <w:r w:rsidRPr="005D5F27">
        <w:rPr>
          <w:rStyle w:val="Hyperlink"/>
          <w:color w:val="0000FF"/>
        </w:rPr>
        <w:fldChar w:fldCharType="end"/>
      </w:r>
      <w:bookmarkStart w:id="56" w:name="_Hlk4412260"/>
    </w:p>
    <w:p w14:paraId="6DAFBBED" w14:textId="77777777" w:rsidR="005D5F27" w:rsidRDefault="005D5F27">
      <w:pPr>
        <w:spacing w:after="0"/>
        <w:rPr>
          <w:rFonts w:cs="Arial"/>
          <w:b/>
          <w:color w:val="17365D" w:themeColor="text2" w:themeShade="BF"/>
          <w:sz w:val="22"/>
          <w:szCs w:val="22"/>
        </w:rPr>
      </w:pPr>
      <w:r>
        <w:rPr>
          <w:rFonts w:cs="Arial"/>
          <w:color w:val="17365D" w:themeColor="text2" w:themeShade="BF"/>
          <w:sz w:val="22"/>
          <w:szCs w:val="22"/>
        </w:rPr>
        <w:br w:type="page"/>
      </w:r>
    </w:p>
    <w:p w14:paraId="3567D291" w14:textId="1C5450E7" w:rsidR="005E042D" w:rsidRPr="00C55F31" w:rsidRDefault="00C652FE" w:rsidP="00A51466">
      <w:pPr>
        <w:pStyle w:val="HHLSubHeading"/>
        <w:numPr>
          <w:ilvl w:val="0"/>
          <w:numId w:val="0"/>
        </w:numPr>
      </w:pPr>
      <w:bookmarkStart w:id="57" w:name="_Toc6998677"/>
      <w:r w:rsidRPr="00C55F31">
        <w:lastRenderedPageBreak/>
        <w:t>Indicator 1</w:t>
      </w:r>
      <w:r w:rsidR="009F11A2">
        <w:t>8</w:t>
      </w:r>
      <w:r w:rsidRPr="00C55F31">
        <w:t xml:space="preserve">. </w:t>
      </w:r>
      <w:r w:rsidR="005E042D" w:rsidRPr="00C55F31">
        <w:t>Healthy lifestyle</w:t>
      </w:r>
      <w:bookmarkEnd w:id="57"/>
    </w:p>
    <w:p w14:paraId="734F2279" w14:textId="56D49BBF" w:rsidR="00C652FE" w:rsidRPr="000A6AFE" w:rsidRDefault="00C652FE" w:rsidP="000A6AFE">
      <w:pPr>
        <w:pStyle w:val="HHLBodyText"/>
        <w:rPr>
          <w:b/>
        </w:rPr>
      </w:pPr>
      <w:r w:rsidRPr="000A6AFE">
        <w:rPr>
          <w:b/>
        </w:rPr>
        <w:t>Our practice</w:t>
      </w:r>
      <w:r w:rsidR="00E036F6" w:rsidRPr="000A6AFE">
        <w:rPr>
          <w:b/>
        </w:rPr>
        <w:t xml:space="preserve"> promotes healthy lifestyles.</w:t>
      </w:r>
    </w:p>
    <w:tbl>
      <w:tblPr>
        <w:tblStyle w:val="TableGrid1"/>
        <w:tblW w:w="0" w:type="auto"/>
        <w:tblLook w:val="04A0" w:firstRow="1" w:lastRow="0" w:firstColumn="1" w:lastColumn="0" w:noHBand="0" w:noVBand="1"/>
      </w:tblPr>
      <w:tblGrid>
        <w:gridCol w:w="1151"/>
        <w:gridCol w:w="4540"/>
        <w:gridCol w:w="4051"/>
      </w:tblGrid>
      <w:tr w:rsidR="00C652FE" w:rsidRPr="00A81435" w14:paraId="1712F506" w14:textId="77777777" w:rsidTr="00EC7822">
        <w:tc>
          <w:tcPr>
            <w:tcW w:w="1153" w:type="dxa"/>
            <w:shd w:val="clear" w:color="auto" w:fill="FBD4B4" w:themeFill="accent6" w:themeFillTint="66"/>
          </w:tcPr>
          <w:p w14:paraId="3DEA7A36" w14:textId="77777777" w:rsidR="00C652FE" w:rsidRPr="00A81435" w:rsidRDefault="00C652FE" w:rsidP="004B6FB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675F4600" w14:textId="77777777" w:rsidR="00C652FE" w:rsidRPr="00A81435" w:rsidRDefault="00C652FE" w:rsidP="004B6FB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4D0D6CC7" w14:textId="4D01BA49" w:rsidR="00C652FE" w:rsidRPr="00A81435" w:rsidRDefault="00C652FE" w:rsidP="004B6FB2">
            <w:pPr>
              <w:spacing w:before="120" w:after="120"/>
              <w:rPr>
                <w:b/>
                <w:color w:val="auto"/>
                <w:sz w:val="22"/>
                <w:szCs w:val="22"/>
              </w:rPr>
            </w:pPr>
            <w:r w:rsidRPr="00A81435">
              <w:rPr>
                <w:b/>
                <w:color w:val="auto"/>
                <w:sz w:val="22"/>
                <w:szCs w:val="22"/>
              </w:rPr>
              <w:t>Required evidence</w:t>
            </w:r>
          </w:p>
        </w:tc>
      </w:tr>
      <w:tr w:rsidR="00C652FE" w:rsidRPr="00A81435" w14:paraId="4B7A33EC" w14:textId="77777777" w:rsidTr="00EC7822">
        <w:tc>
          <w:tcPr>
            <w:tcW w:w="1153" w:type="dxa"/>
          </w:tcPr>
          <w:p w14:paraId="4D4E9BC7" w14:textId="0F0FC2BD" w:rsidR="00C652FE" w:rsidRPr="00A81435" w:rsidRDefault="00C652FE" w:rsidP="004B6FB2">
            <w:pPr>
              <w:spacing w:before="60"/>
              <w:rPr>
                <w:color w:val="auto"/>
                <w:sz w:val="22"/>
                <w:szCs w:val="22"/>
              </w:rPr>
            </w:pPr>
            <w:r w:rsidRPr="00A81435">
              <w:rPr>
                <w:color w:val="auto"/>
                <w:sz w:val="22"/>
                <w:szCs w:val="22"/>
              </w:rPr>
              <w:t>1</w:t>
            </w:r>
            <w:r w:rsidR="009F11A2">
              <w:rPr>
                <w:color w:val="auto"/>
                <w:sz w:val="22"/>
                <w:szCs w:val="22"/>
              </w:rPr>
              <w:t>8</w:t>
            </w:r>
            <w:r w:rsidRPr="00A81435">
              <w:rPr>
                <w:color w:val="auto"/>
                <w:sz w:val="22"/>
                <w:szCs w:val="22"/>
              </w:rPr>
              <w:t>.1</w:t>
            </w:r>
          </w:p>
        </w:tc>
        <w:tc>
          <w:tcPr>
            <w:tcW w:w="4568" w:type="dxa"/>
          </w:tcPr>
          <w:p w14:paraId="530295D9" w14:textId="7A5162D7" w:rsidR="00E036F6" w:rsidRPr="00E036F6" w:rsidRDefault="00E036F6" w:rsidP="00E036F6">
            <w:pPr>
              <w:spacing w:before="60"/>
              <w:rPr>
                <w:rFonts w:cs="Arial"/>
                <w:color w:val="auto"/>
                <w:sz w:val="22"/>
                <w:szCs w:val="22"/>
              </w:rPr>
            </w:pPr>
            <w:r w:rsidRPr="00E036F6">
              <w:rPr>
                <w:rFonts w:cs="Arial"/>
                <w:color w:val="auto"/>
                <w:sz w:val="22"/>
                <w:szCs w:val="22"/>
              </w:rPr>
              <w:t xml:space="preserve">Promote patient centered </w:t>
            </w:r>
            <w:r w:rsidR="00573E02" w:rsidRPr="00E036F6">
              <w:rPr>
                <w:rFonts w:cs="Arial"/>
                <w:color w:val="auto"/>
                <w:sz w:val="22"/>
                <w:szCs w:val="22"/>
              </w:rPr>
              <w:t>self-management</w:t>
            </w:r>
            <w:r w:rsidR="00627205">
              <w:rPr>
                <w:rFonts w:cs="Arial"/>
                <w:color w:val="auto"/>
                <w:sz w:val="22"/>
                <w:szCs w:val="22"/>
              </w:rPr>
              <w:t>.</w:t>
            </w:r>
          </w:p>
          <w:p w14:paraId="5BBB0EC3" w14:textId="1211E172" w:rsidR="00C652FE" w:rsidRPr="00E036F6" w:rsidRDefault="00C652FE" w:rsidP="004B6FB2">
            <w:pPr>
              <w:spacing w:before="60"/>
              <w:rPr>
                <w:rFonts w:cs="Arial"/>
                <w:color w:val="auto"/>
                <w:sz w:val="22"/>
                <w:szCs w:val="22"/>
              </w:rPr>
            </w:pPr>
          </w:p>
        </w:tc>
        <w:tc>
          <w:tcPr>
            <w:tcW w:w="4075" w:type="dxa"/>
          </w:tcPr>
          <w:p w14:paraId="32323724" w14:textId="14037B3D" w:rsidR="00C652FE" w:rsidRPr="003D32AA" w:rsidRDefault="00F478D0" w:rsidP="003D32AA">
            <w:pPr>
              <w:spacing w:before="60"/>
              <w:rPr>
                <w:color w:val="auto"/>
                <w:sz w:val="22"/>
                <w:szCs w:val="22"/>
              </w:rPr>
            </w:pPr>
            <w:r>
              <w:rPr>
                <w:color w:val="auto"/>
                <w:sz w:val="22"/>
                <w:szCs w:val="22"/>
              </w:rPr>
              <w:t xml:space="preserve">Document in the patient record any </w:t>
            </w:r>
            <w:r w:rsidR="003D32AA">
              <w:rPr>
                <w:color w:val="auto"/>
                <w:sz w:val="22"/>
                <w:szCs w:val="22"/>
              </w:rPr>
              <w:t>advice</w:t>
            </w:r>
            <w:r>
              <w:rPr>
                <w:color w:val="auto"/>
                <w:sz w:val="22"/>
                <w:szCs w:val="22"/>
              </w:rPr>
              <w:t xml:space="preserve"> </w:t>
            </w:r>
            <w:r w:rsidR="00EC7822">
              <w:rPr>
                <w:color w:val="auto"/>
                <w:sz w:val="22"/>
                <w:szCs w:val="22"/>
              </w:rPr>
              <w:t xml:space="preserve">or activities </w:t>
            </w:r>
            <w:r w:rsidR="003D32AA">
              <w:rPr>
                <w:color w:val="auto"/>
                <w:sz w:val="22"/>
                <w:szCs w:val="22"/>
              </w:rPr>
              <w:t xml:space="preserve">discussed </w:t>
            </w:r>
            <w:r w:rsidR="00EC7822">
              <w:rPr>
                <w:color w:val="auto"/>
                <w:sz w:val="22"/>
                <w:szCs w:val="22"/>
              </w:rPr>
              <w:t>relating to health lifestyles</w:t>
            </w:r>
            <w:r w:rsidR="003D32AA">
              <w:rPr>
                <w:color w:val="auto"/>
                <w:sz w:val="22"/>
                <w:szCs w:val="22"/>
              </w:rPr>
              <w:t>.</w:t>
            </w:r>
            <w:r w:rsidR="00EC7822">
              <w:rPr>
                <w:color w:val="auto"/>
                <w:sz w:val="22"/>
                <w:szCs w:val="22"/>
              </w:rPr>
              <w:t xml:space="preserve"> </w:t>
            </w:r>
          </w:p>
        </w:tc>
      </w:tr>
      <w:tr w:rsidR="00C652FE" w:rsidRPr="00A81435" w14:paraId="1507D709" w14:textId="77777777" w:rsidTr="00EC7822">
        <w:tc>
          <w:tcPr>
            <w:tcW w:w="1153" w:type="dxa"/>
          </w:tcPr>
          <w:p w14:paraId="2A26C864" w14:textId="43DE0BBB" w:rsidR="00C652FE" w:rsidRPr="00B21354" w:rsidRDefault="00C652FE" w:rsidP="004B6FB2">
            <w:pPr>
              <w:spacing w:before="60"/>
              <w:rPr>
                <w:color w:val="auto"/>
                <w:sz w:val="22"/>
                <w:szCs w:val="22"/>
              </w:rPr>
            </w:pPr>
            <w:r w:rsidRPr="00B21354">
              <w:rPr>
                <w:color w:val="auto"/>
                <w:sz w:val="22"/>
                <w:szCs w:val="22"/>
              </w:rPr>
              <w:t>1</w:t>
            </w:r>
            <w:r w:rsidR="009F11A2">
              <w:rPr>
                <w:color w:val="auto"/>
                <w:sz w:val="22"/>
                <w:szCs w:val="22"/>
              </w:rPr>
              <w:t>8</w:t>
            </w:r>
            <w:r w:rsidRPr="00B21354">
              <w:rPr>
                <w:color w:val="auto"/>
                <w:sz w:val="22"/>
                <w:szCs w:val="22"/>
              </w:rPr>
              <w:t>.2</w:t>
            </w:r>
          </w:p>
        </w:tc>
        <w:tc>
          <w:tcPr>
            <w:tcW w:w="4568" w:type="dxa"/>
          </w:tcPr>
          <w:p w14:paraId="61F16FD0" w14:textId="1F49C739" w:rsidR="00E036F6" w:rsidRPr="00E036F6" w:rsidRDefault="00E036F6" w:rsidP="00E036F6">
            <w:pPr>
              <w:spacing w:before="60"/>
              <w:rPr>
                <w:rFonts w:cs="Arial"/>
                <w:color w:val="auto"/>
                <w:sz w:val="22"/>
                <w:szCs w:val="22"/>
              </w:rPr>
            </w:pPr>
            <w:r w:rsidRPr="00E036F6">
              <w:rPr>
                <w:rFonts w:cs="Arial"/>
                <w:color w:val="auto"/>
                <w:sz w:val="22"/>
                <w:szCs w:val="22"/>
              </w:rPr>
              <w:t>Provide or refer patients to programmes that improve, maintain or restore health</w:t>
            </w:r>
            <w:r w:rsidR="00627205">
              <w:rPr>
                <w:rFonts w:cs="Arial"/>
                <w:color w:val="auto"/>
                <w:sz w:val="22"/>
                <w:szCs w:val="22"/>
              </w:rPr>
              <w:t>.</w:t>
            </w:r>
          </w:p>
          <w:p w14:paraId="2CE26E22" w14:textId="43EC792C" w:rsidR="00C652FE" w:rsidRPr="00E036F6" w:rsidRDefault="00C652FE" w:rsidP="004B6FB2">
            <w:pPr>
              <w:spacing w:before="60"/>
              <w:rPr>
                <w:rFonts w:cs="Arial"/>
                <w:color w:val="auto"/>
                <w:sz w:val="22"/>
                <w:szCs w:val="22"/>
              </w:rPr>
            </w:pPr>
          </w:p>
        </w:tc>
        <w:tc>
          <w:tcPr>
            <w:tcW w:w="4075" w:type="dxa"/>
          </w:tcPr>
          <w:p w14:paraId="05A7E4F9" w14:textId="74D93C55" w:rsidR="00EC7822" w:rsidRPr="00B21354" w:rsidRDefault="00EC7822" w:rsidP="003D32AA">
            <w:pPr>
              <w:spacing w:before="60"/>
            </w:pPr>
            <w:r>
              <w:rPr>
                <w:color w:val="auto"/>
                <w:sz w:val="22"/>
                <w:szCs w:val="22"/>
              </w:rPr>
              <w:t>Document in the patient record any referrals to programmes that improve, maintain or restore health</w:t>
            </w:r>
            <w:r w:rsidR="003D32AA">
              <w:rPr>
                <w:color w:val="auto"/>
                <w:sz w:val="22"/>
                <w:szCs w:val="22"/>
              </w:rPr>
              <w:t>.</w:t>
            </w:r>
            <w:r>
              <w:rPr>
                <w:color w:val="auto"/>
                <w:sz w:val="22"/>
                <w:szCs w:val="22"/>
              </w:rPr>
              <w:t xml:space="preserve"> </w:t>
            </w:r>
          </w:p>
        </w:tc>
      </w:tr>
    </w:tbl>
    <w:p w14:paraId="1FAC00AD" w14:textId="77777777" w:rsidR="00A2111E" w:rsidRPr="005B2DE1" w:rsidRDefault="00A2111E" w:rsidP="00A2111E">
      <w:pPr>
        <w:pStyle w:val="HHLBodyText"/>
        <w:spacing w:before="240"/>
        <w:rPr>
          <w:b/>
          <w:sz w:val="22"/>
          <w:szCs w:val="22"/>
        </w:rPr>
      </w:pPr>
      <w:r w:rsidRPr="005B2DE1">
        <w:rPr>
          <w:b/>
          <w:sz w:val="22"/>
          <w:szCs w:val="22"/>
        </w:rPr>
        <w:t>Required training</w:t>
      </w:r>
    </w:p>
    <w:p w14:paraId="4D6918F1" w14:textId="6EF317B3" w:rsidR="008F568C" w:rsidRPr="00EF0A0E" w:rsidRDefault="001645ED"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7D9A04D2" w14:textId="57DFF0AB" w:rsidR="00C652FE" w:rsidRDefault="00C652FE" w:rsidP="00C652FE">
      <w:pPr>
        <w:spacing w:before="240" w:after="120"/>
        <w:rPr>
          <w:b/>
          <w:color w:val="auto"/>
          <w:sz w:val="22"/>
          <w:szCs w:val="22"/>
        </w:rPr>
      </w:pPr>
      <w:r w:rsidRPr="00A81435">
        <w:rPr>
          <w:b/>
          <w:color w:val="auto"/>
          <w:sz w:val="22"/>
          <w:szCs w:val="22"/>
        </w:rPr>
        <w:t>Guidance notes</w:t>
      </w:r>
    </w:p>
    <w:p w14:paraId="77850342" w14:textId="1CFA9A15" w:rsidR="00C55026" w:rsidRDefault="00C55026" w:rsidP="00C55026">
      <w:pPr>
        <w:pStyle w:val="BodyText"/>
      </w:pPr>
      <w:r>
        <w:t xml:space="preserve">Health promotion, education and </w:t>
      </w:r>
      <w:r w:rsidR="00C80464">
        <w:t>self-management</w:t>
      </w:r>
      <w:r>
        <w:t xml:space="preserve"> and </w:t>
      </w:r>
      <w:r w:rsidR="00C80464">
        <w:t>self-management</w:t>
      </w:r>
      <w:r>
        <w:t xml:space="preserve"> support are important aspects of primary health care.</w:t>
      </w:r>
    </w:p>
    <w:p w14:paraId="7BC791A6" w14:textId="77777777" w:rsidR="0074502D" w:rsidRDefault="0074502D" w:rsidP="0074502D">
      <w:pPr>
        <w:pStyle w:val="BodyText"/>
      </w:pPr>
      <w:r>
        <w:t xml:space="preserve">The </w:t>
      </w:r>
      <w:hyperlink r:id="rId142" w:history="1">
        <w:r>
          <w:rPr>
            <w:rStyle w:val="Hyperlink"/>
          </w:rPr>
          <w:t>Ottawa Charter for Health Promotion</w:t>
        </w:r>
      </w:hyperlink>
      <w:r>
        <w:t xml:space="preserve"> states that health promotion is the process of enabling your patients to increase control over, and improve, their health.</w:t>
      </w:r>
    </w:p>
    <w:p w14:paraId="322B9AD8" w14:textId="77777777" w:rsidR="0074502D" w:rsidRDefault="0074502D" w:rsidP="0074502D">
      <w:pPr>
        <w:pStyle w:val="BodyText"/>
      </w:pPr>
      <w:r>
        <w:t xml:space="preserve">Health promotion is distinct from education and information used to support diagnosis and choice of treatment. Health promotion is the term given to planning, implementing and evaluating activities that promote health and wellbeing in communities, and when practice teams work with patients to help them manage their own care to improve their quality of life. </w:t>
      </w:r>
    </w:p>
    <w:p w14:paraId="4DE02EF4" w14:textId="564F66B1" w:rsidR="0074502D" w:rsidRDefault="0074502D" w:rsidP="0074502D">
      <w:pPr>
        <w:pStyle w:val="BodyText"/>
      </w:pPr>
      <w:r>
        <w:t xml:space="preserve">PHOs are required to work with </w:t>
      </w:r>
      <w:r w:rsidR="000C0B45">
        <w:t>whānau</w:t>
      </w:r>
      <w:r>
        <w:t>, hap</w:t>
      </w:r>
      <w:r w:rsidR="000C0B45">
        <w:t>ū</w:t>
      </w:r>
      <w:r>
        <w:t xml:space="preserve">, iwi, consumers, and other groups within their community, relevant public health service providers and regional public health units to plan and deliver </w:t>
      </w:r>
      <w:hyperlink r:id="rId143" w:history="1">
        <w:r>
          <w:rPr>
            <w:rStyle w:val="Hyperlink"/>
          </w:rPr>
          <w:t>health promotion programmes</w:t>
        </w:r>
      </w:hyperlink>
      <w:r>
        <w:t>. Programmes are required to be consistent with population health objectives and public health programmes at national, regional and local levels.</w:t>
      </w:r>
    </w:p>
    <w:p w14:paraId="2C76225B" w14:textId="65B247A4" w:rsidR="0074502D" w:rsidRDefault="0074502D" w:rsidP="0074502D">
      <w:pPr>
        <w:pStyle w:val="BodyText"/>
      </w:pPr>
      <w:r>
        <w:t xml:space="preserve">Your general practice has a role to play. Effective health education and promotion help contribute to patient safety and improved health outcomes, and empower patients and </w:t>
      </w:r>
      <w:r w:rsidR="00573E02">
        <w:t>wh</w:t>
      </w:r>
      <w:r w:rsidR="00573E02">
        <w:rPr>
          <w:spacing w:val="-79"/>
        </w:rPr>
        <w:t>ā</w:t>
      </w:r>
      <w:r w:rsidR="00573E02">
        <w:rPr>
          <w:spacing w:val="7"/>
        </w:rPr>
        <w:t>n</w:t>
      </w:r>
      <w:r w:rsidR="00573E02">
        <w:t>au</w:t>
      </w:r>
      <w:r>
        <w:t xml:space="preserve"> to increase control over their health and wellbeing through increasing health literacy levels.</w:t>
      </w:r>
    </w:p>
    <w:p w14:paraId="4B10BD1F" w14:textId="77777777" w:rsidR="0074502D" w:rsidRPr="00381652" w:rsidRDefault="0074502D" w:rsidP="00864FFE">
      <w:pPr>
        <w:pStyle w:val="HHLBodyText"/>
        <w:spacing w:before="240"/>
        <w:rPr>
          <w:i/>
        </w:rPr>
      </w:pPr>
      <w:r w:rsidRPr="00381652">
        <w:rPr>
          <w:i/>
        </w:rPr>
        <w:t>Preventive care and promoting healthy lifestyles</w:t>
      </w:r>
    </w:p>
    <w:p w14:paraId="5C3433B7" w14:textId="77777777" w:rsidR="0074502D" w:rsidRDefault="0074502D" w:rsidP="0074502D">
      <w:pPr>
        <w:pStyle w:val="BodyText"/>
      </w:pPr>
      <w:r>
        <w:t>Your practice team should deliver preventive care and promote healthy lifestyles. Educating patients in preventive approaches helps them develop skills to manage their own health.</w:t>
      </w:r>
    </w:p>
    <w:p w14:paraId="59B0CB12" w14:textId="77777777" w:rsidR="0074502D" w:rsidRDefault="0074502D" w:rsidP="0074502D">
      <w:pPr>
        <w:pStyle w:val="BodyText"/>
      </w:pPr>
      <w:r>
        <w:t xml:space="preserve">You can also work with primary health organisations, networks or public health units to develop health promotion and social marketing approaches to help people understand the importance of making healthier lifestyle choices. This is directly geared to achieving specific and measurable health goals over the short, medium and long term. </w:t>
      </w:r>
    </w:p>
    <w:p w14:paraId="6E6B5857" w14:textId="77777777" w:rsidR="0074502D" w:rsidRPr="00AB6361" w:rsidRDefault="0074502D" w:rsidP="00AB6361">
      <w:pPr>
        <w:rPr>
          <w:color w:val="auto"/>
          <w:sz w:val="22"/>
          <w:szCs w:val="22"/>
        </w:rPr>
      </w:pPr>
      <w:r w:rsidRPr="00AB6361">
        <w:rPr>
          <w:color w:val="auto"/>
          <w:sz w:val="22"/>
          <w:szCs w:val="22"/>
        </w:rPr>
        <w:t>Preventive health topics:</w:t>
      </w:r>
    </w:p>
    <w:p w14:paraId="2728E38A" w14:textId="763FD514" w:rsidR="0074502D" w:rsidRDefault="0074502D" w:rsidP="0074502D">
      <w:pPr>
        <w:pStyle w:val="BodyText"/>
      </w:pPr>
      <w:r>
        <w:t xml:space="preserve">Here are some areas in which your general practice can work with your PHO, public health service providers and your community to integrate both health promotion and health protection activities (see </w:t>
      </w:r>
      <w:hyperlink r:id="rId144" w:history="1">
        <w:r>
          <w:rPr>
            <w:rStyle w:val="Hyperlink"/>
          </w:rPr>
          <w:t>Ministry of Health: Preventative health/wellness</w:t>
        </w:r>
      </w:hyperlink>
      <w:r>
        <w:t>)</w:t>
      </w:r>
    </w:p>
    <w:p w14:paraId="45A3ADBB" w14:textId="77777777" w:rsidR="0074502D" w:rsidRPr="00381652" w:rsidRDefault="0074502D" w:rsidP="00EC3E36">
      <w:pPr>
        <w:pStyle w:val="HHLBodyText"/>
        <w:spacing w:before="240"/>
        <w:rPr>
          <w:i/>
        </w:rPr>
      </w:pPr>
      <w:r w:rsidRPr="00381652">
        <w:rPr>
          <w:i/>
        </w:rPr>
        <w:t>Using the practice database to identify the health needs of the enrolled population</w:t>
      </w:r>
    </w:p>
    <w:p w14:paraId="334CC67C" w14:textId="77777777" w:rsidR="0074502D" w:rsidRDefault="0074502D" w:rsidP="0074502D">
      <w:pPr>
        <w:pStyle w:val="BodyText"/>
      </w:pPr>
      <w:r>
        <w:t>You can use data from your PMS to identify the health needs of your enrolled patients. Think about what data would be useful and how you can build and extract it from your PMS.</w:t>
      </w:r>
    </w:p>
    <w:p w14:paraId="23675DF0" w14:textId="77777777" w:rsidR="0074502D" w:rsidRDefault="0074502D" w:rsidP="004943FD">
      <w:pPr>
        <w:pStyle w:val="BodyText"/>
        <w:spacing w:after="60"/>
      </w:pPr>
      <w:r>
        <w:lastRenderedPageBreak/>
        <w:t>Examples of audits may include but are not limited to:</w:t>
      </w:r>
    </w:p>
    <w:p w14:paraId="4F8B8053" w14:textId="5C7533D4" w:rsidR="0074502D" w:rsidRPr="00DB0143" w:rsidRDefault="001F4ACD" w:rsidP="008D486E">
      <w:pPr>
        <w:pStyle w:val="Bullets-LAST"/>
        <w:numPr>
          <w:ilvl w:val="0"/>
          <w:numId w:val="10"/>
        </w:numPr>
        <w:spacing w:after="60"/>
        <w:ind w:left="576" w:hanging="576"/>
        <w:rPr>
          <w:rFonts w:ascii="Arial" w:hAnsi="Arial" w:cs="Arial"/>
        </w:rPr>
      </w:pPr>
      <w:r>
        <w:rPr>
          <w:rFonts w:ascii="Arial" w:hAnsi="Arial" w:cs="Arial"/>
        </w:rPr>
        <w:t>C</w:t>
      </w:r>
      <w:r w:rsidR="0074502D" w:rsidRPr="00DB0143">
        <w:rPr>
          <w:rFonts w:ascii="Arial" w:hAnsi="Arial" w:cs="Arial"/>
        </w:rPr>
        <w:t>urrent smokers</w:t>
      </w:r>
    </w:p>
    <w:p w14:paraId="2908C6E0" w14:textId="1752282E" w:rsidR="0074502D" w:rsidRPr="00DB0143" w:rsidRDefault="001F4ACD" w:rsidP="008D486E">
      <w:pPr>
        <w:pStyle w:val="Bullets-LAST"/>
        <w:numPr>
          <w:ilvl w:val="0"/>
          <w:numId w:val="10"/>
        </w:numPr>
        <w:spacing w:after="60"/>
        <w:ind w:left="576" w:hanging="576"/>
        <w:rPr>
          <w:rFonts w:ascii="Arial" w:hAnsi="Arial" w:cs="Arial"/>
        </w:rPr>
      </w:pPr>
      <w:r>
        <w:rPr>
          <w:rFonts w:ascii="Arial" w:hAnsi="Arial" w:cs="Arial"/>
        </w:rPr>
        <w:t>A</w:t>
      </w:r>
      <w:r w:rsidR="0074502D" w:rsidRPr="00DB0143">
        <w:rPr>
          <w:rFonts w:ascii="Arial" w:hAnsi="Arial" w:cs="Arial"/>
        </w:rPr>
        <w:t xml:space="preserve">lcohol </w:t>
      </w:r>
      <w:r w:rsidR="00AE6336" w:rsidRPr="00DB0143">
        <w:rPr>
          <w:rFonts w:ascii="Arial" w:hAnsi="Arial" w:cs="Arial"/>
        </w:rPr>
        <w:t xml:space="preserve">and drug </w:t>
      </w:r>
      <w:r w:rsidR="0074502D" w:rsidRPr="00DB0143">
        <w:rPr>
          <w:rFonts w:ascii="Arial" w:hAnsi="Arial" w:cs="Arial"/>
        </w:rPr>
        <w:t>intake</w:t>
      </w:r>
    </w:p>
    <w:p w14:paraId="50C24030" w14:textId="45DC3039" w:rsidR="0074502D" w:rsidRPr="00DB0143" w:rsidRDefault="001F4ACD" w:rsidP="008D486E">
      <w:pPr>
        <w:pStyle w:val="Bullets-LAST"/>
        <w:numPr>
          <w:ilvl w:val="0"/>
          <w:numId w:val="10"/>
        </w:numPr>
        <w:spacing w:after="60"/>
        <w:ind w:left="576" w:hanging="576"/>
        <w:rPr>
          <w:rFonts w:ascii="Arial" w:hAnsi="Arial" w:cs="Arial"/>
        </w:rPr>
      </w:pPr>
      <w:r>
        <w:rPr>
          <w:rFonts w:ascii="Arial" w:hAnsi="Arial" w:cs="Arial"/>
        </w:rPr>
        <w:t>E</w:t>
      </w:r>
      <w:r w:rsidR="0074502D" w:rsidRPr="00DB0143">
        <w:rPr>
          <w:rFonts w:ascii="Arial" w:hAnsi="Arial" w:cs="Arial"/>
        </w:rPr>
        <w:t>levated blood pressure</w:t>
      </w:r>
    </w:p>
    <w:p w14:paraId="4C768FB8" w14:textId="59884097" w:rsidR="00C652FE" w:rsidRDefault="00C652FE" w:rsidP="00C652FE">
      <w:pPr>
        <w:spacing w:before="240" w:after="120"/>
        <w:rPr>
          <w:b/>
          <w:color w:val="auto"/>
          <w:sz w:val="22"/>
          <w:szCs w:val="22"/>
        </w:rPr>
      </w:pPr>
      <w:r w:rsidRPr="00A81435">
        <w:rPr>
          <w:b/>
          <w:color w:val="auto"/>
          <w:sz w:val="22"/>
          <w:szCs w:val="22"/>
        </w:rPr>
        <w:t>Resources</w:t>
      </w:r>
      <w:bookmarkEnd w:id="56"/>
    </w:p>
    <w:p w14:paraId="33BF54EC" w14:textId="77777777" w:rsidR="0074502D" w:rsidRPr="008B5F94" w:rsidRDefault="00CF1416" w:rsidP="0024030C">
      <w:pPr>
        <w:pStyle w:val="Resourcelist"/>
        <w:spacing w:after="120"/>
        <w:rPr>
          <w:rStyle w:val="Hyperlink"/>
          <w:rFonts w:ascii="Arial" w:hAnsi="Arial" w:cs="Arial"/>
          <w:color w:val="0000FF"/>
        </w:rPr>
      </w:pPr>
      <w:hyperlink r:id="rId145" w:history="1">
        <w:r w:rsidR="0074502D" w:rsidRPr="008B5F94">
          <w:rPr>
            <w:rStyle w:val="Hyperlink"/>
            <w:rFonts w:ascii="Arial" w:hAnsi="Arial" w:cs="Arial"/>
            <w:color w:val="0000FF"/>
          </w:rPr>
          <w:t xml:space="preserve">Public health in a primary health care setting </w:t>
        </w:r>
      </w:hyperlink>
    </w:p>
    <w:p w14:paraId="4E299FB3" w14:textId="77777777" w:rsidR="0074502D" w:rsidRPr="008B5F94" w:rsidRDefault="00CF1416" w:rsidP="0024030C">
      <w:pPr>
        <w:pStyle w:val="Resourcelist"/>
        <w:spacing w:after="120"/>
        <w:rPr>
          <w:rStyle w:val="Hyperlink"/>
          <w:rFonts w:ascii="Arial" w:hAnsi="Arial" w:cs="Arial"/>
          <w:color w:val="0000FF"/>
        </w:rPr>
      </w:pPr>
      <w:hyperlink r:id="rId146" w:history="1">
        <w:r w:rsidR="0074502D" w:rsidRPr="008B5F94">
          <w:rPr>
            <w:rStyle w:val="Hyperlink"/>
            <w:rFonts w:ascii="Arial" w:hAnsi="Arial" w:cs="Arial"/>
            <w:color w:val="0000FF"/>
          </w:rPr>
          <w:t>Health Ed: Free health resources</w:t>
        </w:r>
      </w:hyperlink>
    </w:p>
    <w:p w14:paraId="2DE0782F" w14:textId="77777777" w:rsidR="0074502D" w:rsidRPr="008B5F94" w:rsidRDefault="00CF1416" w:rsidP="0024030C">
      <w:pPr>
        <w:pStyle w:val="Resourcelist"/>
        <w:spacing w:after="120"/>
        <w:rPr>
          <w:rStyle w:val="Hyperlink"/>
          <w:rFonts w:ascii="Arial" w:hAnsi="Arial" w:cs="Arial"/>
          <w:color w:val="0000FF"/>
        </w:rPr>
      </w:pPr>
      <w:hyperlink r:id="rId147" w:history="1">
        <w:r w:rsidR="0074502D" w:rsidRPr="008B5F94">
          <w:rPr>
            <w:rStyle w:val="Hyperlink"/>
            <w:rFonts w:ascii="Arial" w:hAnsi="Arial" w:cs="Arial"/>
            <w:color w:val="0000FF"/>
          </w:rPr>
          <w:t>Health Promotion Agency</w:t>
        </w:r>
      </w:hyperlink>
      <w:r w:rsidR="0074502D" w:rsidRPr="008B5F94">
        <w:rPr>
          <w:rStyle w:val="Hyperlink"/>
          <w:rFonts w:ascii="Arial" w:hAnsi="Arial" w:cs="Arial"/>
          <w:color w:val="0000FF"/>
        </w:rPr>
        <w:t xml:space="preserve"> </w:t>
      </w:r>
    </w:p>
    <w:p w14:paraId="176F7AF8" w14:textId="3270DE22" w:rsidR="0074502D" w:rsidRPr="008B5F94" w:rsidRDefault="0074502D" w:rsidP="0024030C">
      <w:pPr>
        <w:pStyle w:val="Resourcelist"/>
        <w:spacing w:after="120"/>
        <w:rPr>
          <w:rStyle w:val="Hyperlink"/>
          <w:rFonts w:ascii="Arial" w:hAnsi="Arial" w:cs="Arial"/>
          <w:color w:val="0000FF"/>
        </w:rPr>
      </w:pPr>
      <w:r w:rsidRPr="008B5F94">
        <w:rPr>
          <w:rStyle w:val="Hyperlink"/>
          <w:rFonts w:ascii="Arial" w:hAnsi="Arial" w:cs="Arial"/>
          <w:color w:val="0000FF"/>
        </w:rPr>
        <w:fldChar w:fldCharType="begin"/>
      </w:r>
      <w:r w:rsidRPr="008B5F94">
        <w:rPr>
          <w:rStyle w:val="Hyperlink"/>
          <w:rFonts w:ascii="Arial" w:hAnsi="Arial" w:cs="Arial"/>
          <w:color w:val="0000FF"/>
        </w:rPr>
        <w:instrText>HYPERLINK  "http://www.hqsc.govt.nz/our-programmes/partners-in-care/"</w:instrText>
      </w:r>
      <w:r w:rsidRPr="008B5F94">
        <w:rPr>
          <w:rStyle w:val="Hyperlink"/>
          <w:rFonts w:ascii="Arial" w:hAnsi="Arial" w:cs="Arial"/>
          <w:color w:val="0000FF"/>
        </w:rPr>
        <w:fldChar w:fldCharType="separate"/>
      </w:r>
      <w:r w:rsidR="004717F3" w:rsidRPr="008B5F94">
        <w:rPr>
          <w:rStyle w:val="Hyperlink"/>
          <w:rFonts w:ascii="Arial" w:hAnsi="Arial" w:cs="Arial"/>
          <w:color w:val="0000FF"/>
        </w:rPr>
        <w:t>Health Quality &amp; Safety Commission</w:t>
      </w:r>
      <w:r w:rsidR="00856407" w:rsidRPr="008B5F94">
        <w:rPr>
          <w:rStyle w:val="Hyperlink"/>
          <w:rFonts w:ascii="Arial" w:hAnsi="Arial" w:cs="Arial"/>
          <w:color w:val="0000FF"/>
        </w:rPr>
        <w:t>,</w:t>
      </w:r>
      <w:r w:rsidR="004717F3" w:rsidRPr="008B5F94">
        <w:rPr>
          <w:rStyle w:val="Hyperlink"/>
          <w:rFonts w:ascii="Arial" w:hAnsi="Arial" w:cs="Arial"/>
          <w:color w:val="0000FF"/>
        </w:rPr>
        <w:t xml:space="preserve"> </w:t>
      </w:r>
      <w:r w:rsidRPr="008B5F94">
        <w:rPr>
          <w:rStyle w:val="Hyperlink"/>
          <w:rFonts w:ascii="Arial" w:hAnsi="Arial" w:cs="Arial"/>
          <w:color w:val="0000FF"/>
        </w:rPr>
        <w:t>Partners in care</w:t>
      </w:r>
    </w:p>
    <w:p w14:paraId="1D05A172" w14:textId="3C989D3B" w:rsidR="0074502D" w:rsidRPr="008B5F94" w:rsidRDefault="0074502D" w:rsidP="0024030C">
      <w:pPr>
        <w:pStyle w:val="Resourcelist"/>
        <w:spacing w:after="120"/>
        <w:rPr>
          <w:rFonts w:ascii="Arial" w:hAnsi="Arial" w:cs="Arial"/>
          <w:szCs w:val="22"/>
        </w:rPr>
      </w:pPr>
      <w:r w:rsidRPr="008B5F94">
        <w:rPr>
          <w:rStyle w:val="Hyperlink"/>
          <w:rFonts w:ascii="Arial" w:hAnsi="Arial" w:cs="Arial"/>
          <w:color w:val="0000FF"/>
        </w:rPr>
        <w:fldChar w:fldCharType="end"/>
      </w:r>
      <w:hyperlink r:id="rId148" w:history="1">
        <w:r w:rsidRPr="008B5F94">
          <w:rPr>
            <w:rStyle w:val="Hyperlink"/>
            <w:rFonts w:ascii="Arial" w:hAnsi="Arial" w:cs="Arial"/>
            <w:color w:val="0000FF"/>
          </w:rPr>
          <w:t>Health Navigator</w:t>
        </w:r>
      </w:hyperlink>
      <w:hyperlink r:id="rId149" w:history="1"/>
    </w:p>
    <w:p w14:paraId="7B7471D0" w14:textId="77777777" w:rsidR="00C652FE" w:rsidRPr="008B5F94" w:rsidRDefault="00C652FE" w:rsidP="008A7358">
      <w:pPr>
        <w:pStyle w:val="HHLBodyText"/>
        <w:rPr>
          <w:rFonts w:cs="Arial"/>
        </w:rPr>
      </w:pPr>
    </w:p>
    <w:p w14:paraId="688F9546" w14:textId="77777777" w:rsidR="00434D2F" w:rsidRDefault="00434D2F" w:rsidP="00206F53">
      <w:pPr>
        <w:spacing w:after="0"/>
        <w:rPr>
          <w:b/>
          <w:color w:val="EE7624"/>
          <w:sz w:val="28"/>
        </w:rPr>
      </w:pPr>
    </w:p>
    <w:p w14:paraId="32E76ACF" w14:textId="77777777" w:rsidR="00434D2F" w:rsidRDefault="00434D2F">
      <w:pPr>
        <w:spacing w:after="0"/>
        <w:rPr>
          <w:b/>
          <w:color w:val="EE7624"/>
          <w:sz w:val="28"/>
        </w:rPr>
      </w:pPr>
      <w:r>
        <w:rPr>
          <w:b/>
          <w:color w:val="EE7624"/>
          <w:sz w:val="28"/>
        </w:rPr>
        <w:br w:type="page"/>
      </w:r>
    </w:p>
    <w:p w14:paraId="5BAE30A1" w14:textId="77777777" w:rsidR="00DE3B66" w:rsidRDefault="00DE3B66" w:rsidP="004C60BD">
      <w:pPr>
        <w:pStyle w:val="Heading1"/>
      </w:pPr>
      <w:bookmarkStart w:id="58" w:name="_Hlk4416419"/>
    </w:p>
    <w:p w14:paraId="5AE05E4A" w14:textId="77777777" w:rsidR="00DE3B66" w:rsidRDefault="00DE3B66" w:rsidP="004C60BD">
      <w:pPr>
        <w:pStyle w:val="Heading1"/>
      </w:pPr>
    </w:p>
    <w:p w14:paraId="22A5C1E6" w14:textId="77777777" w:rsidR="00DE3B66" w:rsidRDefault="00DE3B66" w:rsidP="004C60BD">
      <w:pPr>
        <w:pStyle w:val="Heading1"/>
      </w:pPr>
    </w:p>
    <w:p w14:paraId="0F48202B" w14:textId="77777777" w:rsidR="00DE3B66" w:rsidRDefault="00DE3B66" w:rsidP="004C60BD">
      <w:pPr>
        <w:pStyle w:val="Heading1"/>
      </w:pPr>
    </w:p>
    <w:p w14:paraId="65E6F738" w14:textId="77777777" w:rsidR="00DE3B66" w:rsidRDefault="00DE3B66" w:rsidP="004C60BD">
      <w:pPr>
        <w:pStyle w:val="Heading1"/>
      </w:pPr>
    </w:p>
    <w:p w14:paraId="6D699B6D" w14:textId="77777777" w:rsidR="00DE3B66" w:rsidRDefault="00DE3B66" w:rsidP="004C60BD">
      <w:pPr>
        <w:pStyle w:val="Heading1"/>
      </w:pPr>
    </w:p>
    <w:p w14:paraId="530D66C1" w14:textId="77777777" w:rsidR="00DE3B66" w:rsidRDefault="00DE3B66" w:rsidP="004C60BD">
      <w:pPr>
        <w:pStyle w:val="Heading1"/>
      </w:pPr>
    </w:p>
    <w:p w14:paraId="61ED581C" w14:textId="77777777" w:rsidR="00DE3B66" w:rsidRDefault="00DE3B66" w:rsidP="004C60BD">
      <w:pPr>
        <w:pStyle w:val="Heading1"/>
      </w:pPr>
    </w:p>
    <w:p w14:paraId="4160AA55" w14:textId="77777777" w:rsidR="00DE3B66" w:rsidRDefault="00DE3B66" w:rsidP="004C60BD">
      <w:pPr>
        <w:pStyle w:val="Heading1"/>
      </w:pPr>
    </w:p>
    <w:p w14:paraId="4A8F2074" w14:textId="77777777" w:rsidR="00DE3B66" w:rsidRDefault="00DE3B66" w:rsidP="004C60BD">
      <w:pPr>
        <w:pStyle w:val="Heading1"/>
      </w:pPr>
    </w:p>
    <w:p w14:paraId="1F6E8CE3" w14:textId="347368FA" w:rsidR="004C60BD" w:rsidRDefault="004C60BD" w:rsidP="004C60BD">
      <w:pPr>
        <w:pStyle w:val="Heading1"/>
        <w:rPr>
          <w:b w:val="0"/>
        </w:rPr>
      </w:pPr>
      <w:bookmarkStart w:id="59" w:name="_Toc6998678"/>
      <w:r w:rsidRPr="000C6773">
        <w:t>Section</w:t>
      </w:r>
      <w:r w:rsidRPr="0055408F">
        <w:t xml:space="preserve"> </w:t>
      </w:r>
      <w:r>
        <w:t xml:space="preserve">8: </w:t>
      </w:r>
      <w:r w:rsidR="00986E7B">
        <w:t>Whare</w:t>
      </w:r>
      <w:r>
        <w:t xml:space="preserve"> haumanu</w:t>
      </w:r>
      <w:r w:rsidRPr="0055408F">
        <w:rPr>
          <w:b w:val="0"/>
        </w:rPr>
        <w:t xml:space="preserve"> | </w:t>
      </w:r>
      <w:r w:rsidR="00BF19CB">
        <w:rPr>
          <w:b w:val="0"/>
        </w:rPr>
        <w:t>Practice team members</w:t>
      </w:r>
      <w:bookmarkEnd w:id="59"/>
    </w:p>
    <w:bookmarkEnd w:id="58"/>
    <w:p w14:paraId="1CC24BE9" w14:textId="1AB9BCFA" w:rsidR="004C60BD" w:rsidRDefault="000221AF" w:rsidP="00206F53">
      <w:pPr>
        <w:spacing w:after="0"/>
        <w:rPr>
          <w:b/>
          <w:color w:val="EE7624"/>
          <w:sz w:val="28"/>
        </w:rPr>
      </w:pPr>
      <w:r>
        <w:rPr>
          <w:b/>
          <w:color w:val="EE7624"/>
          <w:sz w:val="28"/>
        </w:rPr>
        <w:br w:type="page"/>
      </w:r>
    </w:p>
    <w:p w14:paraId="309E6BBA" w14:textId="62EB709D" w:rsidR="005E042D" w:rsidRPr="00C55F31" w:rsidRDefault="00BF19CB" w:rsidP="00364582">
      <w:pPr>
        <w:pStyle w:val="HHLSubHeading"/>
        <w:numPr>
          <w:ilvl w:val="0"/>
          <w:numId w:val="0"/>
        </w:numPr>
        <w:tabs>
          <w:tab w:val="left" w:pos="7741"/>
        </w:tabs>
      </w:pPr>
      <w:bookmarkStart w:id="60" w:name="_Toc6998679"/>
      <w:r w:rsidRPr="00C55F31">
        <w:lastRenderedPageBreak/>
        <w:t>Indicator 1</w:t>
      </w:r>
      <w:r w:rsidR="009F11A2">
        <w:t>9</w:t>
      </w:r>
      <w:r w:rsidRPr="00C55F31">
        <w:t xml:space="preserve">. </w:t>
      </w:r>
      <w:r w:rsidR="005E042D" w:rsidRPr="00C55F31">
        <w:t>Health and safety</w:t>
      </w:r>
      <w:bookmarkEnd w:id="60"/>
    </w:p>
    <w:p w14:paraId="25944BD2" w14:textId="13F1FD1B" w:rsidR="00BF19CB" w:rsidRPr="005E042D" w:rsidRDefault="00BF19CB" w:rsidP="005E042D">
      <w:pPr>
        <w:pStyle w:val="HHLBodyText"/>
        <w:rPr>
          <w:b/>
        </w:rPr>
      </w:pPr>
      <w:r w:rsidRPr="005E042D">
        <w:rPr>
          <w:b/>
        </w:rPr>
        <w:t>Our practice</w:t>
      </w:r>
      <w:r w:rsidR="00290549" w:rsidRPr="005E042D">
        <w:rPr>
          <w:b/>
        </w:rPr>
        <w:t xml:space="preserve"> actively works to support the health and safety of our team, </w:t>
      </w:r>
      <w:r w:rsidR="0086659B">
        <w:rPr>
          <w:b/>
        </w:rPr>
        <w:t xml:space="preserve">patients, </w:t>
      </w:r>
      <w:r w:rsidR="00290549" w:rsidRPr="005E042D">
        <w:rPr>
          <w:b/>
        </w:rPr>
        <w:t>contractors and visitors.</w:t>
      </w:r>
    </w:p>
    <w:tbl>
      <w:tblPr>
        <w:tblStyle w:val="TableGrid1"/>
        <w:tblW w:w="0" w:type="auto"/>
        <w:tblLook w:val="04A0" w:firstRow="1" w:lastRow="0" w:firstColumn="1" w:lastColumn="0" w:noHBand="0" w:noVBand="1"/>
      </w:tblPr>
      <w:tblGrid>
        <w:gridCol w:w="1152"/>
        <w:gridCol w:w="4538"/>
        <w:gridCol w:w="4052"/>
      </w:tblGrid>
      <w:tr w:rsidR="00BF19CB" w:rsidRPr="00A81435" w14:paraId="4F899FAD" w14:textId="77777777" w:rsidTr="004B6FB2">
        <w:tc>
          <w:tcPr>
            <w:tcW w:w="1153" w:type="dxa"/>
            <w:shd w:val="clear" w:color="auto" w:fill="FBD4B4" w:themeFill="accent6" w:themeFillTint="66"/>
          </w:tcPr>
          <w:p w14:paraId="452D81C5" w14:textId="77777777" w:rsidR="00BF19CB" w:rsidRPr="00A81435" w:rsidRDefault="00BF19CB" w:rsidP="004B6FB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7DD82B2B" w14:textId="77777777" w:rsidR="00BF19CB" w:rsidRPr="00A81435" w:rsidRDefault="00BF19CB" w:rsidP="004B6FB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68FD1132" w14:textId="56D7DD2C" w:rsidR="00BF19CB" w:rsidRPr="00A81435" w:rsidRDefault="00BF19CB" w:rsidP="004B6FB2">
            <w:pPr>
              <w:spacing w:before="120" w:after="120"/>
              <w:rPr>
                <w:b/>
                <w:color w:val="auto"/>
                <w:sz w:val="22"/>
                <w:szCs w:val="22"/>
              </w:rPr>
            </w:pPr>
            <w:r w:rsidRPr="00A81435">
              <w:rPr>
                <w:b/>
                <w:color w:val="auto"/>
                <w:sz w:val="22"/>
                <w:szCs w:val="22"/>
              </w:rPr>
              <w:t>Required evidence</w:t>
            </w:r>
          </w:p>
        </w:tc>
      </w:tr>
      <w:tr w:rsidR="00BF19CB" w:rsidRPr="00A81435" w14:paraId="41824784" w14:textId="77777777" w:rsidTr="004B6FB2">
        <w:tc>
          <w:tcPr>
            <w:tcW w:w="1153" w:type="dxa"/>
          </w:tcPr>
          <w:p w14:paraId="6DBF9AFE" w14:textId="702DB21C" w:rsidR="00BF19CB" w:rsidRPr="00A81435" w:rsidRDefault="00BF19CB" w:rsidP="004B6FB2">
            <w:pPr>
              <w:spacing w:before="60"/>
              <w:rPr>
                <w:color w:val="auto"/>
                <w:sz w:val="22"/>
                <w:szCs w:val="22"/>
              </w:rPr>
            </w:pPr>
            <w:r w:rsidRPr="00A81435">
              <w:rPr>
                <w:color w:val="auto"/>
                <w:sz w:val="22"/>
                <w:szCs w:val="22"/>
              </w:rPr>
              <w:t>1</w:t>
            </w:r>
            <w:r w:rsidR="009F11A2">
              <w:rPr>
                <w:color w:val="auto"/>
                <w:sz w:val="22"/>
                <w:szCs w:val="22"/>
              </w:rPr>
              <w:t>9</w:t>
            </w:r>
            <w:r w:rsidRPr="00A81435">
              <w:rPr>
                <w:color w:val="auto"/>
                <w:sz w:val="22"/>
                <w:szCs w:val="22"/>
              </w:rPr>
              <w:t>.1</w:t>
            </w:r>
          </w:p>
        </w:tc>
        <w:tc>
          <w:tcPr>
            <w:tcW w:w="4568" w:type="dxa"/>
          </w:tcPr>
          <w:p w14:paraId="15B824E2" w14:textId="10F0B756" w:rsidR="00BF19CB" w:rsidRPr="00E036F6" w:rsidRDefault="00497AE1" w:rsidP="00E34344">
            <w:pPr>
              <w:spacing w:before="60"/>
              <w:rPr>
                <w:rFonts w:cs="Arial"/>
                <w:color w:val="auto"/>
                <w:sz w:val="22"/>
                <w:szCs w:val="22"/>
              </w:rPr>
            </w:pPr>
            <w:r>
              <w:rPr>
                <w:rFonts w:cs="Arial"/>
                <w:color w:val="auto"/>
                <w:sz w:val="22"/>
                <w:szCs w:val="22"/>
              </w:rPr>
              <w:t>S</w:t>
            </w:r>
            <w:r w:rsidR="0044551F">
              <w:rPr>
                <w:rFonts w:cs="Arial"/>
                <w:color w:val="auto"/>
                <w:sz w:val="22"/>
                <w:szCs w:val="22"/>
              </w:rPr>
              <w:t>upport a</w:t>
            </w:r>
            <w:r w:rsidR="00E34344">
              <w:rPr>
                <w:rFonts w:cs="Arial"/>
                <w:color w:val="auto"/>
                <w:sz w:val="22"/>
                <w:szCs w:val="22"/>
              </w:rPr>
              <w:t xml:space="preserve"> healthy and safe environment for your team, </w:t>
            </w:r>
            <w:r w:rsidR="0086659B">
              <w:rPr>
                <w:rFonts w:cs="Arial"/>
                <w:color w:val="auto"/>
                <w:sz w:val="22"/>
                <w:szCs w:val="22"/>
              </w:rPr>
              <w:t xml:space="preserve">patients, </w:t>
            </w:r>
            <w:r w:rsidR="00573E02">
              <w:rPr>
                <w:rFonts w:cs="Arial"/>
                <w:color w:val="auto"/>
                <w:sz w:val="22"/>
                <w:szCs w:val="22"/>
              </w:rPr>
              <w:t>contractors</w:t>
            </w:r>
            <w:r w:rsidR="00E34344">
              <w:rPr>
                <w:rFonts w:cs="Arial"/>
                <w:color w:val="auto"/>
                <w:sz w:val="22"/>
                <w:szCs w:val="22"/>
              </w:rPr>
              <w:t xml:space="preserve"> and visitors.</w:t>
            </w:r>
          </w:p>
        </w:tc>
        <w:tc>
          <w:tcPr>
            <w:tcW w:w="4075" w:type="dxa"/>
          </w:tcPr>
          <w:p w14:paraId="411A8433" w14:textId="4AC930BE" w:rsidR="00BF19CB" w:rsidRPr="008A7358" w:rsidRDefault="00E34344" w:rsidP="008A7358">
            <w:pPr>
              <w:spacing w:before="60" w:line="257" w:lineRule="auto"/>
              <w:ind w:left="14"/>
              <w:rPr>
                <w:color w:val="auto"/>
                <w:sz w:val="22"/>
                <w:szCs w:val="22"/>
              </w:rPr>
            </w:pPr>
            <w:r w:rsidRPr="008A7358">
              <w:rPr>
                <w:color w:val="auto"/>
                <w:sz w:val="22"/>
                <w:szCs w:val="22"/>
              </w:rPr>
              <w:t xml:space="preserve">A </w:t>
            </w:r>
            <w:r w:rsidR="00A004DA" w:rsidRPr="008A7358">
              <w:rPr>
                <w:color w:val="auto"/>
                <w:sz w:val="22"/>
                <w:szCs w:val="22"/>
              </w:rPr>
              <w:t xml:space="preserve">documented </w:t>
            </w:r>
            <w:r w:rsidRPr="008A7358">
              <w:rPr>
                <w:color w:val="auto"/>
                <w:sz w:val="22"/>
                <w:szCs w:val="22"/>
              </w:rPr>
              <w:t xml:space="preserve">Health and Safety Policy and </w:t>
            </w:r>
            <w:r w:rsidR="0044551F" w:rsidRPr="008A7358">
              <w:rPr>
                <w:color w:val="auto"/>
                <w:sz w:val="22"/>
                <w:szCs w:val="22"/>
              </w:rPr>
              <w:t>H</w:t>
            </w:r>
            <w:r w:rsidRPr="008A7358">
              <w:rPr>
                <w:color w:val="auto"/>
                <w:sz w:val="22"/>
                <w:szCs w:val="22"/>
              </w:rPr>
              <w:t xml:space="preserve">azard </w:t>
            </w:r>
            <w:r w:rsidR="00EC3C37" w:rsidRPr="008A7358">
              <w:rPr>
                <w:color w:val="auto"/>
                <w:sz w:val="22"/>
                <w:szCs w:val="22"/>
              </w:rPr>
              <w:t xml:space="preserve">and Risk </w:t>
            </w:r>
            <w:r w:rsidRPr="008A7358">
              <w:rPr>
                <w:color w:val="auto"/>
                <w:sz w:val="22"/>
                <w:szCs w:val="22"/>
              </w:rPr>
              <w:t xml:space="preserve">Register which are reviewed </w:t>
            </w:r>
            <w:r w:rsidR="0044551F" w:rsidRPr="008A7358">
              <w:rPr>
                <w:color w:val="auto"/>
                <w:sz w:val="22"/>
                <w:szCs w:val="22"/>
              </w:rPr>
              <w:t xml:space="preserve">and updated </w:t>
            </w:r>
            <w:r w:rsidR="00573E02" w:rsidRPr="008A7358">
              <w:rPr>
                <w:color w:val="auto"/>
                <w:sz w:val="22"/>
                <w:szCs w:val="22"/>
              </w:rPr>
              <w:t>annually</w:t>
            </w:r>
            <w:r w:rsidRPr="008A7358">
              <w:rPr>
                <w:color w:val="auto"/>
                <w:sz w:val="22"/>
                <w:szCs w:val="22"/>
              </w:rPr>
              <w:t>.</w:t>
            </w:r>
          </w:p>
          <w:p w14:paraId="30905384" w14:textId="34DA2FA3" w:rsidR="0044551F" w:rsidRPr="008A7358" w:rsidRDefault="0044551F" w:rsidP="008A7358">
            <w:pPr>
              <w:spacing w:before="60" w:line="257" w:lineRule="auto"/>
              <w:ind w:left="14"/>
              <w:rPr>
                <w:color w:val="auto"/>
                <w:sz w:val="22"/>
                <w:szCs w:val="22"/>
              </w:rPr>
            </w:pPr>
            <w:r w:rsidRPr="008A7358">
              <w:rPr>
                <w:color w:val="auto"/>
                <w:sz w:val="22"/>
                <w:szCs w:val="22"/>
              </w:rPr>
              <w:t>A record of any health and safety incidents</w:t>
            </w:r>
            <w:r w:rsidR="00CC7D6B" w:rsidRPr="008A7358">
              <w:rPr>
                <w:color w:val="auto"/>
                <w:sz w:val="22"/>
                <w:szCs w:val="22"/>
              </w:rPr>
              <w:t xml:space="preserve"> and resultant actions taken.</w:t>
            </w:r>
          </w:p>
          <w:p w14:paraId="4D2B7587" w14:textId="25812FA6" w:rsidR="0044551F" w:rsidRPr="008A7358" w:rsidRDefault="0044551F" w:rsidP="008A7358">
            <w:pPr>
              <w:spacing w:before="60" w:line="257" w:lineRule="auto"/>
              <w:ind w:left="14"/>
              <w:rPr>
                <w:color w:val="auto"/>
                <w:sz w:val="22"/>
                <w:szCs w:val="22"/>
              </w:rPr>
            </w:pPr>
            <w:r w:rsidRPr="008A7358">
              <w:rPr>
                <w:color w:val="auto"/>
                <w:sz w:val="22"/>
                <w:szCs w:val="22"/>
              </w:rPr>
              <w:t xml:space="preserve">A </w:t>
            </w:r>
            <w:r w:rsidR="00573E02" w:rsidRPr="008A7358">
              <w:rPr>
                <w:color w:val="auto"/>
                <w:sz w:val="22"/>
                <w:szCs w:val="22"/>
              </w:rPr>
              <w:t>register</w:t>
            </w:r>
            <w:r w:rsidRPr="008A7358">
              <w:rPr>
                <w:color w:val="auto"/>
                <w:sz w:val="22"/>
                <w:szCs w:val="22"/>
              </w:rPr>
              <w:t xml:space="preserve"> of hazardous substances </w:t>
            </w:r>
            <w:r w:rsidR="00C80464" w:rsidRPr="008A7358">
              <w:rPr>
                <w:color w:val="auto"/>
                <w:sz w:val="22"/>
                <w:szCs w:val="22"/>
              </w:rPr>
              <w:t>including</w:t>
            </w:r>
            <w:r w:rsidRPr="008A7358">
              <w:rPr>
                <w:color w:val="auto"/>
                <w:sz w:val="22"/>
                <w:szCs w:val="22"/>
              </w:rPr>
              <w:t xml:space="preserve"> </w:t>
            </w:r>
            <w:r w:rsidR="00573E02" w:rsidRPr="008A7358">
              <w:rPr>
                <w:color w:val="auto"/>
                <w:sz w:val="22"/>
                <w:szCs w:val="22"/>
              </w:rPr>
              <w:t>substance</w:t>
            </w:r>
            <w:r w:rsidRPr="008A7358">
              <w:rPr>
                <w:color w:val="auto"/>
                <w:sz w:val="22"/>
                <w:szCs w:val="22"/>
              </w:rPr>
              <w:t>, quality and location.</w:t>
            </w:r>
          </w:p>
          <w:p w14:paraId="396460C1" w14:textId="77777777" w:rsidR="006351F1" w:rsidRPr="008A7358" w:rsidRDefault="0044551F" w:rsidP="008A7358">
            <w:pPr>
              <w:spacing w:before="60" w:line="257" w:lineRule="auto"/>
              <w:ind w:left="14"/>
              <w:rPr>
                <w:color w:val="auto"/>
                <w:sz w:val="22"/>
                <w:szCs w:val="22"/>
              </w:rPr>
            </w:pPr>
            <w:r w:rsidRPr="008A7358">
              <w:rPr>
                <w:color w:val="auto"/>
                <w:sz w:val="22"/>
                <w:szCs w:val="22"/>
              </w:rPr>
              <w:t xml:space="preserve">Data safety </w:t>
            </w:r>
            <w:r w:rsidR="00573E02" w:rsidRPr="008A7358">
              <w:rPr>
                <w:color w:val="auto"/>
                <w:sz w:val="22"/>
                <w:szCs w:val="22"/>
              </w:rPr>
              <w:t>sheets</w:t>
            </w:r>
            <w:r w:rsidRPr="008A7358">
              <w:rPr>
                <w:color w:val="auto"/>
                <w:sz w:val="22"/>
                <w:szCs w:val="22"/>
              </w:rPr>
              <w:t xml:space="preserve"> for hazardous </w:t>
            </w:r>
            <w:r w:rsidR="00573E02" w:rsidRPr="008A7358">
              <w:rPr>
                <w:color w:val="auto"/>
                <w:sz w:val="22"/>
                <w:szCs w:val="22"/>
              </w:rPr>
              <w:t>substances</w:t>
            </w:r>
            <w:r w:rsidRPr="008A7358">
              <w:rPr>
                <w:color w:val="auto"/>
                <w:sz w:val="22"/>
                <w:szCs w:val="22"/>
              </w:rPr>
              <w:t>.</w:t>
            </w:r>
          </w:p>
          <w:p w14:paraId="546BAABF" w14:textId="347AD7E9" w:rsidR="00435278" w:rsidRPr="008A7358" w:rsidRDefault="00435278" w:rsidP="008A7358">
            <w:pPr>
              <w:spacing w:before="60" w:line="257" w:lineRule="auto"/>
              <w:ind w:left="14"/>
              <w:rPr>
                <w:color w:val="auto"/>
                <w:sz w:val="22"/>
                <w:szCs w:val="22"/>
              </w:rPr>
            </w:pPr>
            <w:r w:rsidRPr="008A7358">
              <w:rPr>
                <w:color w:val="auto"/>
                <w:sz w:val="22"/>
                <w:szCs w:val="22"/>
              </w:rPr>
              <w:t>Certification of any required training.</w:t>
            </w:r>
          </w:p>
        </w:tc>
      </w:tr>
      <w:tr w:rsidR="00A9739B" w:rsidRPr="00A81435" w14:paraId="6969E575" w14:textId="77777777" w:rsidTr="004B6FB2">
        <w:tc>
          <w:tcPr>
            <w:tcW w:w="1153" w:type="dxa"/>
          </w:tcPr>
          <w:p w14:paraId="4277CDFF" w14:textId="77777777" w:rsidR="00A9739B" w:rsidRDefault="00A9739B" w:rsidP="00A9739B">
            <w:pPr>
              <w:spacing w:before="60"/>
              <w:rPr>
                <w:color w:val="auto"/>
                <w:sz w:val="22"/>
                <w:szCs w:val="22"/>
              </w:rPr>
            </w:pPr>
            <w:r w:rsidRPr="00A9739B">
              <w:rPr>
                <w:color w:val="auto"/>
                <w:sz w:val="22"/>
                <w:szCs w:val="22"/>
              </w:rPr>
              <w:t>19.2</w:t>
            </w:r>
          </w:p>
          <w:p w14:paraId="51F1DAB6" w14:textId="2E0B7620" w:rsidR="00364582" w:rsidRPr="00364582" w:rsidRDefault="00364582" w:rsidP="00364582">
            <w:pPr>
              <w:rPr>
                <w:sz w:val="22"/>
                <w:szCs w:val="22"/>
              </w:rPr>
            </w:pPr>
          </w:p>
        </w:tc>
        <w:tc>
          <w:tcPr>
            <w:tcW w:w="4568" w:type="dxa"/>
          </w:tcPr>
          <w:p w14:paraId="46605B66" w14:textId="7D4C2015" w:rsidR="00A9739B" w:rsidRPr="00A9739B" w:rsidRDefault="00A9739B" w:rsidP="00A9739B">
            <w:pPr>
              <w:spacing w:before="60"/>
              <w:rPr>
                <w:rFonts w:cs="Arial"/>
                <w:color w:val="auto"/>
                <w:sz w:val="22"/>
                <w:szCs w:val="22"/>
              </w:rPr>
            </w:pPr>
            <w:r w:rsidRPr="00A9739B">
              <w:rPr>
                <w:color w:val="auto"/>
                <w:sz w:val="22"/>
                <w:szCs w:val="22"/>
              </w:rPr>
              <w:t xml:space="preserve">Ensure the practice team is trained to evacuate the practice by participating in </w:t>
            </w:r>
            <w:r w:rsidR="00364582">
              <w:rPr>
                <w:color w:val="auto"/>
                <w:sz w:val="22"/>
                <w:szCs w:val="22"/>
              </w:rPr>
              <w:t xml:space="preserve">a </w:t>
            </w:r>
            <w:r w:rsidRPr="00A9739B">
              <w:rPr>
                <w:color w:val="auto"/>
                <w:sz w:val="22"/>
                <w:szCs w:val="22"/>
              </w:rPr>
              <w:t>fire drill every 6 months.</w:t>
            </w:r>
          </w:p>
        </w:tc>
        <w:tc>
          <w:tcPr>
            <w:tcW w:w="4075" w:type="dxa"/>
          </w:tcPr>
          <w:p w14:paraId="33ACD300" w14:textId="6582E423" w:rsidR="00A9739B" w:rsidRPr="00364582" w:rsidRDefault="00364582" w:rsidP="00A9739B">
            <w:pPr>
              <w:pStyle w:val="TableCellBULLETSredTables"/>
              <w:numPr>
                <w:ilvl w:val="0"/>
                <w:numId w:val="0"/>
              </w:numPr>
              <w:tabs>
                <w:tab w:val="clear" w:pos="284"/>
                <w:tab w:val="left" w:pos="1"/>
              </w:tabs>
              <w:spacing w:before="60" w:after="60"/>
              <w:rPr>
                <w:rFonts w:ascii="Arial" w:hAnsi="Arial" w:cs="Arial"/>
                <w:color w:val="auto"/>
                <w:szCs w:val="22"/>
              </w:rPr>
            </w:pPr>
            <w:r>
              <w:rPr>
                <w:rFonts w:ascii="Arial" w:hAnsi="Arial" w:cs="Arial"/>
                <w:color w:val="auto"/>
                <w:szCs w:val="22"/>
              </w:rPr>
              <w:t>D</w:t>
            </w:r>
            <w:r w:rsidR="00A9739B" w:rsidRPr="00364582">
              <w:rPr>
                <w:rFonts w:ascii="Arial" w:hAnsi="Arial" w:cs="Arial"/>
                <w:color w:val="auto"/>
                <w:szCs w:val="22"/>
              </w:rPr>
              <w:t>emonstrate all team members are familiar with their roles and responsibilities</w:t>
            </w:r>
            <w:r>
              <w:rPr>
                <w:rFonts w:ascii="Arial" w:hAnsi="Arial" w:cs="Arial"/>
                <w:color w:val="auto"/>
                <w:szCs w:val="22"/>
              </w:rPr>
              <w:t xml:space="preserve"> during a fire drill</w:t>
            </w:r>
            <w:r w:rsidR="00A9739B" w:rsidRPr="00364582">
              <w:rPr>
                <w:rFonts w:ascii="Arial" w:hAnsi="Arial" w:cs="Arial"/>
                <w:color w:val="auto"/>
                <w:szCs w:val="22"/>
              </w:rPr>
              <w:t xml:space="preserve">. </w:t>
            </w:r>
          </w:p>
          <w:p w14:paraId="799F2561" w14:textId="759B2C49" w:rsidR="00A9739B" w:rsidRPr="00364582" w:rsidRDefault="00A9739B" w:rsidP="00A9739B">
            <w:pPr>
              <w:pStyle w:val="TableCellBULLETSredTables"/>
              <w:numPr>
                <w:ilvl w:val="0"/>
                <w:numId w:val="0"/>
              </w:numPr>
              <w:tabs>
                <w:tab w:val="clear" w:pos="284"/>
                <w:tab w:val="left" w:pos="1"/>
              </w:tabs>
              <w:spacing w:before="60" w:after="60"/>
              <w:rPr>
                <w:rFonts w:ascii="Arial" w:hAnsi="Arial" w:cs="Arial"/>
                <w:color w:val="auto"/>
                <w:szCs w:val="22"/>
              </w:rPr>
            </w:pPr>
            <w:r w:rsidRPr="00364582">
              <w:rPr>
                <w:rFonts w:ascii="Arial" w:hAnsi="Arial" w:cs="Arial"/>
                <w:color w:val="auto"/>
                <w:szCs w:val="22"/>
              </w:rPr>
              <w:t>Documented analysis and debrief of the fire drill scenario.</w:t>
            </w:r>
          </w:p>
        </w:tc>
      </w:tr>
    </w:tbl>
    <w:p w14:paraId="02D330EC" w14:textId="77777777" w:rsidR="00A2111E" w:rsidRPr="005B2DE1" w:rsidRDefault="00A2111E" w:rsidP="00A2111E">
      <w:pPr>
        <w:pStyle w:val="HHLBodyText"/>
        <w:spacing w:before="240"/>
        <w:rPr>
          <w:b/>
          <w:sz w:val="22"/>
          <w:szCs w:val="22"/>
        </w:rPr>
      </w:pPr>
      <w:r w:rsidRPr="005B2DE1">
        <w:rPr>
          <w:b/>
          <w:sz w:val="22"/>
          <w:szCs w:val="22"/>
        </w:rPr>
        <w:t>Required training</w:t>
      </w:r>
    </w:p>
    <w:p w14:paraId="40313824" w14:textId="798B859F" w:rsidR="0091652A" w:rsidRPr="00596EEC" w:rsidRDefault="00596EEC" w:rsidP="000A1CD2">
      <w:pPr>
        <w:spacing w:after="120"/>
        <w:rPr>
          <w:color w:val="auto"/>
          <w:sz w:val="22"/>
          <w:szCs w:val="22"/>
        </w:rPr>
      </w:pPr>
      <w:r w:rsidRPr="00134BB9">
        <w:rPr>
          <w:color w:val="auto"/>
          <w:sz w:val="22"/>
          <w:szCs w:val="22"/>
        </w:rPr>
        <w:t>Training may be required in line with the requirements of current Health and Safety at Work Act 2015 and/or Hazardous Substances Regulations 201</w:t>
      </w:r>
      <w:r>
        <w:rPr>
          <w:color w:val="auto"/>
          <w:sz w:val="22"/>
          <w:szCs w:val="22"/>
        </w:rPr>
        <w:t>7</w:t>
      </w:r>
      <w:r w:rsidRPr="00134BB9">
        <w:rPr>
          <w:color w:val="auto"/>
          <w:sz w:val="22"/>
          <w:szCs w:val="22"/>
        </w:rPr>
        <w:t>.</w:t>
      </w:r>
      <w:r>
        <w:rPr>
          <w:color w:val="auto"/>
          <w:sz w:val="22"/>
          <w:szCs w:val="22"/>
        </w:rPr>
        <w:t xml:space="preserve"> Actual requirements will depend on number of staff engaged and the </w:t>
      </w:r>
      <w:r w:rsidR="00435278">
        <w:rPr>
          <w:color w:val="auto"/>
          <w:sz w:val="22"/>
          <w:szCs w:val="22"/>
        </w:rPr>
        <w:t xml:space="preserve">type and </w:t>
      </w:r>
      <w:r>
        <w:rPr>
          <w:color w:val="auto"/>
          <w:sz w:val="22"/>
          <w:szCs w:val="22"/>
        </w:rPr>
        <w:t>quantity of hazardous substances held on site</w:t>
      </w:r>
      <w:r w:rsidR="00435278">
        <w:rPr>
          <w:color w:val="auto"/>
          <w:sz w:val="22"/>
          <w:szCs w:val="22"/>
        </w:rPr>
        <w:t xml:space="preserve">. This potentially </w:t>
      </w:r>
      <w:r>
        <w:rPr>
          <w:color w:val="auto"/>
          <w:sz w:val="22"/>
          <w:szCs w:val="22"/>
        </w:rPr>
        <w:t xml:space="preserve">introduces training in handling and disposal requirements.  </w:t>
      </w:r>
    </w:p>
    <w:p w14:paraId="3817213F" w14:textId="6AA5C055" w:rsidR="00BF19CB" w:rsidRDefault="00BF19CB" w:rsidP="000A1CD2">
      <w:pPr>
        <w:spacing w:before="240" w:after="120"/>
        <w:rPr>
          <w:b/>
          <w:color w:val="auto"/>
          <w:sz w:val="22"/>
          <w:szCs w:val="22"/>
        </w:rPr>
      </w:pPr>
      <w:r w:rsidRPr="00A81435">
        <w:rPr>
          <w:b/>
          <w:color w:val="auto"/>
          <w:sz w:val="22"/>
          <w:szCs w:val="22"/>
        </w:rPr>
        <w:t>Guidance notes</w:t>
      </w:r>
    </w:p>
    <w:p w14:paraId="354052A6" w14:textId="5DAF6C7F" w:rsidR="002A636A" w:rsidRDefault="002A636A" w:rsidP="000A1CD2">
      <w:pPr>
        <w:pStyle w:val="HHLBodyText"/>
        <w:spacing w:before="0"/>
        <w:rPr>
          <w:sz w:val="22"/>
          <w:szCs w:val="22"/>
        </w:rPr>
      </w:pPr>
      <w:r w:rsidRPr="00556A19">
        <w:rPr>
          <w:sz w:val="22"/>
          <w:szCs w:val="22"/>
        </w:rPr>
        <w:t xml:space="preserve">The purpose of this indicator is to </w:t>
      </w:r>
      <w:r>
        <w:rPr>
          <w:sz w:val="22"/>
          <w:szCs w:val="22"/>
        </w:rPr>
        <w:t xml:space="preserve">assist with </w:t>
      </w:r>
      <w:r w:rsidRPr="00556A19">
        <w:rPr>
          <w:sz w:val="22"/>
          <w:szCs w:val="22"/>
        </w:rPr>
        <w:t>ensur</w:t>
      </w:r>
      <w:r>
        <w:rPr>
          <w:sz w:val="22"/>
          <w:szCs w:val="22"/>
        </w:rPr>
        <w:t>ing</w:t>
      </w:r>
      <w:r w:rsidRPr="00556A19">
        <w:rPr>
          <w:sz w:val="22"/>
          <w:szCs w:val="22"/>
        </w:rPr>
        <w:t xml:space="preserve"> that practice</w:t>
      </w:r>
      <w:r>
        <w:rPr>
          <w:sz w:val="22"/>
          <w:szCs w:val="22"/>
        </w:rPr>
        <w:t xml:space="preserve">s </w:t>
      </w:r>
      <w:r w:rsidR="00C80464">
        <w:rPr>
          <w:sz w:val="22"/>
          <w:szCs w:val="22"/>
        </w:rPr>
        <w:t>provide</w:t>
      </w:r>
      <w:r>
        <w:rPr>
          <w:sz w:val="22"/>
          <w:szCs w:val="22"/>
        </w:rPr>
        <w:t xml:space="preserve"> a healthy and safe environment </w:t>
      </w:r>
      <w:r w:rsidR="00A174F5">
        <w:rPr>
          <w:sz w:val="22"/>
          <w:szCs w:val="22"/>
        </w:rPr>
        <w:t xml:space="preserve">for </w:t>
      </w:r>
      <w:r w:rsidRPr="00556A19">
        <w:rPr>
          <w:sz w:val="22"/>
          <w:szCs w:val="22"/>
        </w:rPr>
        <w:t>team members</w:t>
      </w:r>
      <w:r>
        <w:rPr>
          <w:sz w:val="22"/>
          <w:szCs w:val="22"/>
        </w:rPr>
        <w:t xml:space="preserve">, </w:t>
      </w:r>
      <w:r w:rsidRPr="00556A19">
        <w:rPr>
          <w:sz w:val="22"/>
          <w:szCs w:val="22"/>
        </w:rPr>
        <w:t>patients</w:t>
      </w:r>
      <w:r>
        <w:rPr>
          <w:sz w:val="22"/>
          <w:szCs w:val="22"/>
        </w:rPr>
        <w:t xml:space="preserve">, contractor and visitors. It is however </w:t>
      </w:r>
      <w:r w:rsidRPr="00556A19">
        <w:rPr>
          <w:sz w:val="22"/>
          <w:szCs w:val="22"/>
        </w:rPr>
        <w:t>the business owner</w:t>
      </w:r>
      <w:r>
        <w:rPr>
          <w:sz w:val="22"/>
          <w:szCs w:val="22"/>
        </w:rPr>
        <w:t>’</w:t>
      </w:r>
      <w:r w:rsidRPr="00556A19">
        <w:rPr>
          <w:sz w:val="22"/>
          <w:szCs w:val="22"/>
        </w:rPr>
        <w:t>s responsib</w:t>
      </w:r>
      <w:r>
        <w:rPr>
          <w:sz w:val="22"/>
          <w:szCs w:val="22"/>
        </w:rPr>
        <w:t xml:space="preserve">ility to </w:t>
      </w:r>
      <w:r w:rsidRPr="00556A19">
        <w:rPr>
          <w:sz w:val="22"/>
          <w:szCs w:val="22"/>
        </w:rPr>
        <w:t xml:space="preserve">ensure all </w:t>
      </w:r>
      <w:r>
        <w:rPr>
          <w:sz w:val="22"/>
          <w:szCs w:val="22"/>
        </w:rPr>
        <w:t>legislative req</w:t>
      </w:r>
      <w:r w:rsidR="009B23FB">
        <w:rPr>
          <w:sz w:val="22"/>
          <w:szCs w:val="22"/>
        </w:rPr>
        <w:t>u</w:t>
      </w:r>
      <w:r>
        <w:rPr>
          <w:sz w:val="22"/>
          <w:szCs w:val="22"/>
        </w:rPr>
        <w:t>ire</w:t>
      </w:r>
      <w:r w:rsidR="007E7110">
        <w:rPr>
          <w:sz w:val="22"/>
          <w:szCs w:val="22"/>
        </w:rPr>
        <w:t>m</w:t>
      </w:r>
      <w:r>
        <w:rPr>
          <w:sz w:val="22"/>
          <w:szCs w:val="22"/>
        </w:rPr>
        <w:t>ents</w:t>
      </w:r>
      <w:r w:rsidR="006D59C1">
        <w:rPr>
          <w:sz w:val="22"/>
          <w:szCs w:val="22"/>
        </w:rPr>
        <w:t xml:space="preserve">, </w:t>
      </w:r>
      <w:r w:rsidR="00C80464">
        <w:rPr>
          <w:sz w:val="22"/>
          <w:szCs w:val="22"/>
        </w:rPr>
        <w:t>including</w:t>
      </w:r>
      <w:r w:rsidR="006D59C1">
        <w:rPr>
          <w:sz w:val="22"/>
          <w:szCs w:val="22"/>
        </w:rPr>
        <w:t xml:space="preserve"> the requirements of the Health and Safety at Work Act 2015</w:t>
      </w:r>
      <w:r w:rsidR="005156A4">
        <w:rPr>
          <w:sz w:val="22"/>
          <w:szCs w:val="22"/>
        </w:rPr>
        <w:t xml:space="preserve"> and Regulations</w:t>
      </w:r>
      <w:r w:rsidR="006D59C1">
        <w:rPr>
          <w:sz w:val="22"/>
          <w:szCs w:val="22"/>
        </w:rPr>
        <w:t>,</w:t>
      </w:r>
      <w:r w:rsidRPr="00556A19">
        <w:rPr>
          <w:sz w:val="22"/>
          <w:szCs w:val="22"/>
        </w:rPr>
        <w:t xml:space="preserve"> </w:t>
      </w:r>
      <w:r>
        <w:rPr>
          <w:sz w:val="22"/>
          <w:szCs w:val="22"/>
        </w:rPr>
        <w:t>are complied with.</w:t>
      </w:r>
    </w:p>
    <w:p w14:paraId="2F8F94FD" w14:textId="77777777" w:rsidR="00E34344" w:rsidRPr="005D6B40" w:rsidRDefault="00E34344" w:rsidP="000A1CD2">
      <w:pPr>
        <w:pStyle w:val="HHLBodyText"/>
        <w:spacing w:before="240"/>
        <w:rPr>
          <w:i/>
        </w:rPr>
      </w:pPr>
      <w:r w:rsidRPr="005D6B40">
        <w:rPr>
          <w:i/>
        </w:rPr>
        <w:t>Managing hazards and risks in your practice</w:t>
      </w:r>
    </w:p>
    <w:p w14:paraId="3253735F" w14:textId="7282D90B" w:rsidR="00E34344" w:rsidRPr="006D59C1" w:rsidRDefault="00E34344" w:rsidP="00E34344">
      <w:pPr>
        <w:rPr>
          <w:rFonts w:cs="Arial"/>
          <w:color w:val="auto"/>
          <w:sz w:val="22"/>
          <w:szCs w:val="22"/>
        </w:rPr>
      </w:pPr>
      <w:r w:rsidRPr="006D59C1">
        <w:rPr>
          <w:rFonts w:cs="Arial"/>
          <w:color w:val="auto"/>
          <w:sz w:val="22"/>
          <w:szCs w:val="22"/>
        </w:rPr>
        <w:t xml:space="preserve">The first step in managing health and safety is to identify these hazards in your practice and assess the likelihood or risk of them causing a serious injury or illness. </w:t>
      </w:r>
    </w:p>
    <w:p w14:paraId="467DC599" w14:textId="773EF3C4" w:rsidR="00E34344" w:rsidRPr="006D59C1" w:rsidRDefault="00E34344" w:rsidP="00E34344">
      <w:pPr>
        <w:rPr>
          <w:rFonts w:cs="Arial"/>
          <w:color w:val="auto"/>
          <w:sz w:val="22"/>
          <w:szCs w:val="22"/>
        </w:rPr>
      </w:pPr>
      <w:r w:rsidRPr="006D59C1">
        <w:rPr>
          <w:rFonts w:cs="Arial"/>
          <w:color w:val="auto"/>
          <w:sz w:val="22"/>
          <w:szCs w:val="22"/>
        </w:rPr>
        <w:t xml:space="preserve">You will need to write hazards and risks down in a hazard/risk register. </w:t>
      </w:r>
      <w:r w:rsidR="005156A4">
        <w:rPr>
          <w:rFonts w:cs="Arial"/>
          <w:color w:val="auto"/>
          <w:sz w:val="22"/>
          <w:szCs w:val="22"/>
        </w:rPr>
        <w:t xml:space="preserve">As a start point </w:t>
      </w:r>
      <w:r w:rsidRPr="006D59C1">
        <w:rPr>
          <w:rFonts w:cs="Arial"/>
          <w:color w:val="auto"/>
          <w:sz w:val="22"/>
          <w:szCs w:val="22"/>
        </w:rPr>
        <w:t xml:space="preserve">focus on your people </w:t>
      </w:r>
      <w:r w:rsidR="005156A4">
        <w:rPr>
          <w:rFonts w:cs="Arial"/>
          <w:color w:val="auto"/>
          <w:sz w:val="22"/>
          <w:szCs w:val="22"/>
        </w:rPr>
        <w:t xml:space="preserve">and patients </w:t>
      </w:r>
      <w:r w:rsidRPr="006D59C1">
        <w:rPr>
          <w:rFonts w:cs="Arial"/>
          <w:color w:val="auto"/>
          <w:sz w:val="22"/>
          <w:szCs w:val="22"/>
        </w:rPr>
        <w:t xml:space="preserve">when you are looking for hazards – </w:t>
      </w:r>
      <w:r w:rsidR="005156A4">
        <w:rPr>
          <w:rFonts w:cs="Arial"/>
          <w:color w:val="auto"/>
          <w:sz w:val="22"/>
          <w:szCs w:val="22"/>
        </w:rPr>
        <w:t xml:space="preserve">looking </w:t>
      </w:r>
      <w:r w:rsidRPr="006D59C1">
        <w:rPr>
          <w:rFonts w:cs="Arial"/>
          <w:color w:val="auto"/>
          <w:sz w:val="22"/>
          <w:szCs w:val="22"/>
        </w:rPr>
        <w:t>for all the things that could hurt the people that come into your practice.</w:t>
      </w:r>
    </w:p>
    <w:p w14:paraId="7607AB32" w14:textId="008160C3" w:rsidR="00E34344" w:rsidRPr="006D59C1" w:rsidRDefault="00E34344" w:rsidP="00E34344">
      <w:pPr>
        <w:rPr>
          <w:rFonts w:cs="Arial"/>
          <w:color w:val="auto"/>
          <w:sz w:val="22"/>
          <w:szCs w:val="22"/>
        </w:rPr>
      </w:pPr>
      <w:r w:rsidRPr="006D59C1">
        <w:rPr>
          <w:rFonts w:cs="Arial"/>
          <w:color w:val="auto"/>
          <w:sz w:val="22"/>
          <w:szCs w:val="22"/>
        </w:rPr>
        <w:t>This register should list all hazards to staff, visitors, patients and contractors along with a rating for the risk of each hazard and how you plan to control and manage them.</w:t>
      </w:r>
      <w:r w:rsidR="006D59C1" w:rsidRPr="006D59C1">
        <w:rPr>
          <w:rFonts w:cs="Arial"/>
          <w:color w:val="auto"/>
          <w:sz w:val="22"/>
          <w:szCs w:val="22"/>
        </w:rPr>
        <w:t xml:space="preserve"> </w:t>
      </w:r>
    </w:p>
    <w:p w14:paraId="1F3F8E15" w14:textId="2799C90C" w:rsidR="00E34344" w:rsidRPr="006D59C1" w:rsidRDefault="00E34344" w:rsidP="00E34344">
      <w:pPr>
        <w:rPr>
          <w:rFonts w:cs="Arial"/>
          <w:color w:val="auto"/>
          <w:sz w:val="22"/>
          <w:szCs w:val="22"/>
        </w:rPr>
      </w:pPr>
      <w:r w:rsidRPr="006D59C1">
        <w:rPr>
          <w:rFonts w:cs="Arial"/>
          <w:color w:val="auto"/>
          <w:sz w:val="22"/>
          <w:szCs w:val="22"/>
        </w:rPr>
        <w:t xml:space="preserve">A </w:t>
      </w:r>
      <w:r w:rsidRPr="006D59C1">
        <w:rPr>
          <w:rFonts w:cs="Arial"/>
          <w:b/>
          <w:bCs/>
          <w:color w:val="auto"/>
          <w:sz w:val="22"/>
          <w:szCs w:val="22"/>
          <w:u w:color="000000"/>
        </w:rPr>
        <w:t>hazard</w:t>
      </w:r>
      <w:r w:rsidRPr="006D59C1">
        <w:rPr>
          <w:rFonts w:cs="Arial"/>
          <w:color w:val="auto"/>
          <w:sz w:val="22"/>
          <w:szCs w:val="22"/>
        </w:rPr>
        <w:t xml:space="preserve"> is anything that can cause harm, like a hazardous substance, equipment, fatigue, repetitive movements on the computer, bullying, </w:t>
      </w:r>
      <w:r w:rsidR="00856407">
        <w:rPr>
          <w:rFonts w:cs="Arial"/>
          <w:color w:val="auto"/>
          <w:sz w:val="22"/>
          <w:szCs w:val="22"/>
        </w:rPr>
        <w:t>wear</w:t>
      </w:r>
      <w:r w:rsidR="00EC6484">
        <w:rPr>
          <w:rFonts w:cs="Arial"/>
          <w:color w:val="auto"/>
          <w:sz w:val="22"/>
          <w:szCs w:val="22"/>
        </w:rPr>
        <w:t xml:space="preserve"> and tear as some examples.</w:t>
      </w:r>
      <w:r w:rsidRPr="006D59C1">
        <w:rPr>
          <w:rFonts w:cs="Arial"/>
          <w:color w:val="auto"/>
          <w:sz w:val="22"/>
          <w:szCs w:val="22"/>
        </w:rPr>
        <w:t xml:space="preserve"> </w:t>
      </w:r>
      <w:r w:rsidR="00EC6484" w:rsidRPr="00EC6484">
        <w:rPr>
          <w:rFonts w:cs="Arial"/>
          <w:b/>
          <w:color w:val="auto"/>
          <w:sz w:val="22"/>
          <w:szCs w:val="22"/>
        </w:rPr>
        <w:t>R</w:t>
      </w:r>
      <w:r w:rsidRPr="00EC6484">
        <w:rPr>
          <w:rFonts w:cs="Arial"/>
          <w:b/>
          <w:bCs/>
          <w:color w:val="auto"/>
          <w:sz w:val="22"/>
          <w:szCs w:val="22"/>
          <w:u w:color="000000"/>
        </w:rPr>
        <w:t>i</w:t>
      </w:r>
      <w:r w:rsidRPr="006D59C1">
        <w:rPr>
          <w:rFonts w:cs="Arial"/>
          <w:b/>
          <w:bCs/>
          <w:color w:val="auto"/>
          <w:sz w:val="22"/>
          <w:szCs w:val="22"/>
          <w:u w:color="000000"/>
        </w:rPr>
        <w:t>sk</w:t>
      </w:r>
      <w:r w:rsidRPr="006D59C1">
        <w:rPr>
          <w:rFonts w:cs="Arial"/>
          <w:color w:val="auto"/>
          <w:sz w:val="22"/>
          <w:szCs w:val="22"/>
        </w:rPr>
        <w:t xml:space="preserve"> is the likelihood that injury</w:t>
      </w:r>
      <w:r w:rsidR="00EC6484">
        <w:rPr>
          <w:rFonts w:cs="Arial"/>
          <w:color w:val="auto"/>
          <w:sz w:val="22"/>
          <w:szCs w:val="22"/>
        </w:rPr>
        <w:t>,</w:t>
      </w:r>
      <w:r w:rsidRPr="006D59C1">
        <w:rPr>
          <w:rFonts w:cs="Arial"/>
          <w:color w:val="auto"/>
          <w:sz w:val="22"/>
          <w:szCs w:val="22"/>
        </w:rPr>
        <w:t xml:space="preserve"> illness</w:t>
      </w:r>
      <w:r w:rsidR="00EC6484">
        <w:rPr>
          <w:rFonts w:cs="Arial"/>
          <w:color w:val="auto"/>
          <w:sz w:val="22"/>
          <w:szCs w:val="22"/>
        </w:rPr>
        <w:t xml:space="preserve"> or even death</w:t>
      </w:r>
      <w:r w:rsidRPr="006D59C1">
        <w:rPr>
          <w:rFonts w:cs="Arial"/>
          <w:color w:val="auto"/>
          <w:sz w:val="22"/>
          <w:szCs w:val="22"/>
        </w:rPr>
        <w:t xml:space="preserve"> might occur when exposed to </w:t>
      </w:r>
      <w:r w:rsidR="00EC6484">
        <w:rPr>
          <w:rFonts w:cs="Arial"/>
          <w:color w:val="auto"/>
          <w:sz w:val="22"/>
          <w:szCs w:val="22"/>
        </w:rPr>
        <w:t xml:space="preserve">that particular </w:t>
      </w:r>
      <w:r w:rsidRPr="006D59C1">
        <w:rPr>
          <w:rFonts w:cs="Arial"/>
          <w:color w:val="auto"/>
          <w:sz w:val="22"/>
          <w:szCs w:val="22"/>
        </w:rPr>
        <w:t xml:space="preserve">hazard. </w:t>
      </w:r>
      <w:r w:rsidR="00EC6484">
        <w:rPr>
          <w:rFonts w:cs="Arial"/>
          <w:color w:val="auto"/>
          <w:sz w:val="22"/>
          <w:szCs w:val="22"/>
        </w:rPr>
        <w:t>F</w:t>
      </w:r>
      <w:r w:rsidRPr="006D59C1">
        <w:rPr>
          <w:rFonts w:cs="Arial"/>
          <w:color w:val="auto"/>
          <w:sz w:val="22"/>
          <w:szCs w:val="22"/>
        </w:rPr>
        <w:t xml:space="preserve">or each hazard think about how likely it is to occur and </w:t>
      </w:r>
      <w:r w:rsidR="00EC6484">
        <w:rPr>
          <w:rFonts w:cs="Arial"/>
          <w:color w:val="auto"/>
          <w:sz w:val="22"/>
          <w:szCs w:val="22"/>
        </w:rPr>
        <w:t xml:space="preserve">the possible impact and record that </w:t>
      </w:r>
      <w:r w:rsidRPr="006D59C1">
        <w:rPr>
          <w:rFonts w:cs="Arial"/>
          <w:color w:val="auto"/>
          <w:sz w:val="22"/>
          <w:szCs w:val="22"/>
        </w:rPr>
        <w:t>in your register</w:t>
      </w:r>
      <w:r w:rsidR="00EC6484">
        <w:rPr>
          <w:rFonts w:cs="Arial"/>
          <w:color w:val="auto"/>
          <w:sz w:val="22"/>
          <w:szCs w:val="22"/>
        </w:rPr>
        <w:t xml:space="preserve"> against each hazard</w:t>
      </w:r>
      <w:r w:rsidRPr="006D59C1">
        <w:rPr>
          <w:rFonts w:cs="Arial"/>
          <w:color w:val="auto"/>
          <w:sz w:val="22"/>
          <w:szCs w:val="22"/>
        </w:rPr>
        <w:t>.</w:t>
      </w:r>
    </w:p>
    <w:p w14:paraId="76ECFB33" w14:textId="77777777" w:rsidR="00170B82" w:rsidRDefault="00170B82">
      <w:pPr>
        <w:spacing w:after="0"/>
        <w:rPr>
          <w:rFonts w:cs="Arial"/>
          <w:color w:val="auto"/>
          <w:sz w:val="22"/>
          <w:szCs w:val="22"/>
        </w:rPr>
      </w:pPr>
      <w:r>
        <w:rPr>
          <w:rFonts w:cs="Arial"/>
          <w:color w:val="auto"/>
          <w:sz w:val="22"/>
          <w:szCs w:val="22"/>
        </w:rPr>
        <w:br w:type="page"/>
      </w:r>
    </w:p>
    <w:p w14:paraId="643A8B47" w14:textId="32F4DDC7" w:rsidR="00E34344" w:rsidRPr="006D59C1" w:rsidRDefault="00E34344" w:rsidP="00E34344">
      <w:pPr>
        <w:rPr>
          <w:rFonts w:cs="Arial"/>
          <w:color w:val="auto"/>
          <w:sz w:val="22"/>
          <w:szCs w:val="22"/>
        </w:rPr>
      </w:pPr>
      <w:r w:rsidRPr="006D59C1">
        <w:rPr>
          <w:rFonts w:cs="Arial"/>
          <w:color w:val="auto"/>
          <w:sz w:val="22"/>
          <w:szCs w:val="22"/>
        </w:rPr>
        <w:lastRenderedPageBreak/>
        <w:t>What you must do:</w:t>
      </w:r>
    </w:p>
    <w:p w14:paraId="34FDFFDB" w14:textId="6271EED9" w:rsidR="00E34344" w:rsidRPr="004943FD" w:rsidRDefault="00E34344" w:rsidP="008D486E">
      <w:pPr>
        <w:pStyle w:val="Bullets-LAST"/>
        <w:numPr>
          <w:ilvl w:val="0"/>
          <w:numId w:val="10"/>
        </w:numPr>
        <w:spacing w:after="60"/>
        <w:ind w:left="576" w:hanging="576"/>
        <w:rPr>
          <w:rFonts w:ascii="Arial" w:hAnsi="Arial" w:cs="Arial"/>
        </w:rPr>
      </w:pPr>
      <w:r w:rsidRPr="004943FD">
        <w:rPr>
          <w:rFonts w:ascii="Arial" w:hAnsi="Arial" w:cs="Arial"/>
        </w:rPr>
        <w:t>Identify the hazards and risks in all work areas in your practice</w:t>
      </w:r>
      <w:r w:rsidR="00C907DA">
        <w:rPr>
          <w:rFonts w:ascii="Arial" w:hAnsi="Arial" w:cs="Arial"/>
        </w:rPr>
        <w:t>.</w:t>
      </w:r>
    </w:p>
    <w:p w14:paraId="0F4D3EF7" w14:textId="34C1CDFD" w:rsidR="00E34344" w:rsidRPr="004943FD" w:rsidRDefault="00E34344" w:rsidP="008D486E">
      <w:pPr>
        <w:pStyle w:val="Bullets-LAST"/>
        <w:numPr>
          <w:ilvl w:val="0"/>
          <w:numId w:val="10"/>
        </w:numPr>
        <w:spacing w:after="60"/>
        <w:ind w:left="576" w:hanging="576"/>
        <w:rPr>
          <w:rFonts w:ascii="Arial" w:hAnsi="Arial" w:cs="Arial"/>
        </w:rPr>
      </w:pPr>
      <w:r w:rsidRPr="004943FD">
        <w:rPr>
          <w:rFonts w:ascii="Arial" w:hAnsi="Arial" w:cs="Arial"/>
        </w:rPr>
        <w:t>Regularly review your accident and incident register to work out the hazards that cause harm</w:t>
      </w:r>
      <w:r w:rsidR="00C907DA">
        <w:rPr>
          <w:rFonts w:ascii="Arial" w:hAnsi="Arial" w:cs="Arial"/>
        </w:rPr>
        <w:t>.</w:t>
      </w:r>
    </w:p>
    <w:p w14:paraId="21754B5F" w14:textId="47E4EF6C" w:rsidR="00E34344" w:rsidRPr="004943FD" w:rsidRDefault="006D59C1" w:rsidP="008D486E">
      <w:pPr>
        <w:pStyle w:val="Bullets-LAST"/>
        <w:numPr>
          <w:ilvl w:val="0"/>
          <w:numId w:val="10"/>
        </w:numPr>
        <w:spacing w:after="60"/>
        <w:ind w:left="576" w:hanging="576"/>
        <w:rPr>
          <w:rFonts w:ascii="Arial" w:hAnsi="Arial" w:cs="Arial"/>
        </w:rPr>
      </w:pPr>
      <w:r w:rsidRPr="003A4E1D">
        <w:rPr>
          <w:rFonts w:ascii="Arial" w:hAnsi="Arial" w:cs="Arial"/>
        </w:rPr>
        <w:t>In</w:t>
      </w:r>
      <w:r w:rsidR="00E34344" w:rsidRPr="004943FD">
        <w:rPr>
          <w:rFonts w:ascii="Arial" w:hAnsi="Arial" w:cs="Arial"/>
        </w:rPr>
        <w:t>volve your staff in identifying hazards and risks</w:t>
      </w:r>
      <w:r w:rsidR="00C907DA">
        <w:rPr>
          <w:rFonts w:ascii="Arial" w:hAnsi="Arial" w:cs="Arial"/>
        </w:rPr>
        <w:t>.</w:t>
      </w:r>
    </w:p>
    <w:p w14:paraId="2BD9337C" w14:textId="77777777" w:rsidR="00E34344" w:rsidRPr="004943FD" w:rsidRDefault="00E34344" w:rsidP="008D486E">
      <w:pPr>
        <w:pStyle w:val="Bullets-LAST"/>
        <w:numPr>
          <w:ilvl w:val="0"/>
          <w:numId w:val="10"/>
        </w:numPr>
        <w:spacing w:after="60"/>
        <w:ind w:left="576" w:hanging="576"/>
        <w:rPr>
          <w:rFonts w:ascii="Arial" w:hAnsi="Arial" w:cs="Arial"/>
        </w:rPr>
      </w:pPr>
      <w:r w:rsidRPr="004943FD">
        <w:rPr>
          <w:rFonts w:ascii="Arial" w:hAnsi="Arial" w:cs="Arial"/>
        </w:rPr>
        <w:t>Reassess when there are new hazards or processes (for example, when you introduce a new piece of equipment or work process).</w:t>
      </w:r>
    </w:p>
    <w:p w14:paraId="4698E9D3" w14:textId="77777777" w:rsidR="00E34344" w:rsidRPr="005D6B40" w:rsidRDefault="00E34344" w:rsidP="000A1CD2">
      <w:pPr>
        <w:pStyle w:val="HHLBodyText"/>
        <w:spacing w:before="240"/>
        <w:rPr>
          <w:i/>
        </w:rPr>
      </w:pPr>
      <w:r w:rsidRPr="005D6B40">
        <w:rPr>
          <w:i/>
        </w:rPr>
        <w:t>Incidents</w:t>
      </w:r>
    </w:p>
    <w:p w14:paraId="734F0BF5" w14:textId="7FD8135C" w:rsidR="00E34344" w:rsidRPr="006D59C1" w:rsidRDefault="00E34344" w:rsidP="00E34344">
      <w:pPr>
        <w:rPr>
          <w:color w:val="auto"/>
          <w:sz w:val="22"/>
          <w:szCs w:val="22"/>
        </w:rPr>
      </w:pPr>
      <w:r w:rsidRPr="006D59C1">
        <w:rPr>
          <w:color w:val="auto"/>
          <w:sz w:val="22"/>
          <w:szCs w:val="22"/>
        </w:rPr>
        <w:t xml:space="preserve">Incidents and near misses are a fact of life in any business and staff should be encouraged to report any incident (or near miss) so that you can all learn and improve health and safety in your practice. These then need to be recorded, investigated and followed up. Write down any details and findings in an incident register, and any follow-up required. </w:t>
      </w:r>
    </w:p>
    <w:p w14:paraId="3A8A9AB5" w14:textId="55594B0D" w:rsidR="00E34344" w:rsidRPr="006D59C1" w:rsidRDefault="00E34344" w:rsidP="00E34344">
      <w:pPr>
        <w:rPr>
          <w:color w:val="auto"/>
          <w:sz w:val="22"/>
          <w:szCs w:val="22"/>
        </w:rPr>
      </w:pPr>
      <w:r w:rsidRPr="006D59C1">
        <w:rPr>
          <w:color w:val="auto"/>
          <w:sz w:val="22"/>
          <w:szCs w:val="22"/>
        </w:rPr>
        <w:t xml:space="preserve">Some major </w:t>
      </w:r>
      <w:r w:rsidR="009D49A2">
        <w:rPr>
          <w:color w:val="auto"/>
          <w:sz w:val="22"/>
          <w:szCs w:val="22"/>
        </w:rPr>
        <w:t xml:space="preserve">health and safety </w:t>
      </w:r>
      <w:r w:rsidRPr="006D59C1">
        <w:rPr>
          <w:color w:val="auto"/>
          <w:sz w:val="22"/>
          <w:szCs w:val="22"/>
        </w:rPr>
        <w:t xml:space="preserve">incidents and accidents will require you to notify Worksafe NZ. See their website for more information on </w:t>
      </w:r>
      <w:r w:rsidRPr="006D59C1">
        <w:rPr>
          <w:color w:val="auto"/>
          <w:sz w:val="22"/>
          <w:szCs w:val="22"/>
          <w:u w:color="0000FF"/>
        </w:rPr>
        <w:t>notifiable events</w:t>
      </w:r>
      <w:r w:rsidRPr="006D59C1">
        <w:rPr>
          <w:color w:val="auto"/>
          <w:sz w:val="22"/>
          <w:szCs w:val="22"/>
        </w:rPr>
        <w:t xml:space="preserve"> and familiarise yourself with any requirements for notifying these. </w:t>
      </w:r>
    </w:p>
    <w:p w14:paraId="623CE71A" w14:textId="10184A75" w:rsidR="00BB2246" w:rsidRPr="0051453E" w:rsidRDefault="00BB2246" w:rsidP="000A1CD2">
      <w:pPr>
        <w:pStyle w:val="HHLBodyText"/>
        <w:spacing w:before="240"/>
      </w:pPr>
      <w:r w:rsidRPr="0051453E">
        <w:rPr>
          <w:i/>
        </w:rPr>
        <w:t>General</w:t>
      </w:r>
    </w:p>
    <w:p w14:paraId="294CF320" w14:textId="29BCB5E8" w:rsidR="0051453E" w:rsidRPr="00E611E2" w:rsidRDefault="00DD46F3" w:rsidP="00C641AB">
      <w:pPr>
        <w:pStyle w:val="HHLBodyText"/>
        <w:spacing w:after="60"/>
        <w:rPr>
          <w:sz w:val="22"/>
          <w:szCs w:val="22"/>
        </w:rPr>
      </w:pPr>
      <w:r>
        <w:rPr>
          <w:sz w:val="22"/>
          <w:szCs w:val="22"/>
        </w:rPr>
        <w:t>To s</w:t>
      </w:r>
      <w:r w:rsidR="00E611E2" w:rsidRPr="00E611E2">
        <w:rPr>
          <w:sz w:val="22"/>
          <w:szCs w:val="22"/>
        </w:rPr>
        <w:t xml:space="preserve">upport a healthy and safe environment it is </w:t>
      </w:r>
      <w:r w:rsidR="00C80464" w:rsidRPr="00E611E2">
        <w:rPr>
          <w:sz w:val="22"/>
          <w:szCs w:val="22"/>
        </w:rPr>
        <w:t>recommended</w:t>
      </w:r>
      <w:r w:rsidR="00E611E2" w:rsidRPr="00E611E2">
        <w:rPr>
          <w:sz w:val="22"/>
          <w:szCs w:val="22"/>
        </w:rPr>
        <w:t xml:space="preserve"> that practices:</w:t>
      </w:r>
    </w:p>
    <w:p w14:paraId="750F72FA" w14:textId="044C2600" w:rsidR="00B64397" w:rsidRPr="004943FD" w:rsidRDefault="00B64397" w:rsidP="008D486E">
      <w:pPr>
        <w:pStyle w:val="Bullets-LAST"/>
        <w:numPr>
          <w:ilvl w:val="0"/>
          <w:numId w:val="10"/>
        </w:numPr>
        <w:spacing w:after="60"/>
        <w:ind w:left="576" w:hanging="576"/>
        <w:rPr>
          <w:rFonts w:ascii="Arial" w:hAnsi="Arial" w:cs="Arial"/>
        </w:rPr>
      </w:pPr>
      <w:r w:rsidRPr="004943FD">
        <w:rPr>
          <w:rFonts w:ascii="Arial" w:hAnsi="Arial" w:cs="Arial"/>
        </w:rPr>
        <w:t>Know staff immunity status</w:t>
      </w:r>
      <w:r w:rsidR="00E611E2" w:rsidRPr="004943FD">
        <w:rPr>
          <w:rFonts w:ascii="Arial" w:hAnsi="Arial" w:cs="Arial"/>
        </w:rPr>
        <w:t xml:space="preserve"> and o</w:t>
      </w:r>
      <w:r w:rsidRPr="004943FD">
        <w:rPr>
          <w:rFonts w:ascii="Arial" w:hAnsi="Arial" w:cs="Arial"/>
        </w:rPr>
        <w:t>ffer appropriate vaccinations as required.</w:t>
      </w:r>
    </w:p>
    <w:p w14:paraId="6CBAD987" w14:textId="19809FCA" w:rsidR="00B64397" w:rsidRPr="004943FD" w:rsidRDefault="00B64397" w:rsidP="008D486E">
      <w:pPr>
        <w:pStyle w:val="Bullets-LAST"/>
        <w:numPr>
          <w:ilvl w:val="0"/>
          <w:numId w:val="10"/>
        </w:numPr>
        <w:spacing w:after="60"/>
        <w:ind w:left="576" w:hanging="576"/>
        <w:rPr>
          <w:rFonts w:ascii="Arial" w:hAnsi="Arial" w:cs="Arial"/>
        </w:rPr>
      </w:pPr>
      <w:r w:rsidRPr="004943FD">
        <w:rPr>
          <w:rFonts w:ascii="Arial" w:hAnsi="Arial" w:cs="Arial"/>
        </w:rPr>
        <w:t>Service electric equipment in accordance with the Electrical (Safety) regulations 2010 Clause</w:t>
      </w:r>
      <w:r w:rsidR="00170B82">
        <w:rPr>
          <w:rFonts w:ascii="Arial" w:hAnsi="Arial" w:cs="Arial"/>
        </w:rPr>
        <w:t> </w:t>
      </w:r>
      <w:r w:rsidRPr="004943FD">
        <w:rPr>
          <w:rFonts w:ascii="Arial" w:hAnsi="Arial" w:cs="Arial"/>
        </w:rPr>
        <w:t>60</w:t>
      </w:r>
      <w:r w:rsidR="00EE1DC8" w:rsidRPr="004943FD">
        <w:rPr>
          <w:rFonts w:ascii="Arial" w:hAnsi="Arial" w:cs="Arial"/>
        </w:rPr>
        <w:t>.</w:t>
      </w:r>
      <w:r w:rsidRPr="004943FD">
        <w:rPr>
          <w:rFonts w:ascii="Arial" w:hAnsi="Arial" w:cs="Arial"/>
        </w:rPr>
        <w:t xml:space="preserve"> </w:t>
      </w:r>
    </w:p>
    <w:p w14:paraId="573801DC" w14:textId="5187B687" w:rsidR="00B64397" w:rsidRPr="004943FD" w:rsidRDefault="00EF3DA8" w:rsidP="008D486E">
      <w:pPr>
        <w:pStyle w:val="Bullets-LAST"/>
        <w:numPr>
          <w:ilvl w:val="0"/>
          <w:numId w:val="10"/>
        </w:numPr>
        <w:spacing w:after="60"/>
        <w:ind w:left="576" w:hanging="576"/>
        <w:rPr>
          <w:rFonts w:ascii="Arial" w:hAnsi="Arial" w:cs="Arial"/>
        </w:rPr>
      </w:pPr>
      <w:r w:rsidRPr="004943FD">
        <w:rPr>
          <w:rFonts w:ascii="Arial" w:hAnsi="Arial" w:cs="Arial"/>
        </w:rPr>
        <w:t xml:space="preserve">Ensure </w:t>
      </w:r>
      <w:r w:rsidR="00B64397" w:rsidRPr="004943FD">
        <w:rPr>
          <w:rFonts w:ascii="Arial" w:hAnsi="Arial" w:cs="Arial"/>
        </w:rPr>
        <w:t>Residual Current Devices (medical grade 10mAmp RCDs) are used where required, and tested, to protect patients and team members in accordance with the Electrical (</w:t>
      </w:r>
      <w:r w:rsidR="00EE1DC8" w:rsidRPr="004943FD">
        <w:rPr>
          <w:rFonts w:ascii="Arial" w:hAnsi="Arial" w:cs="Arial"/>
        </w:rPr>
        <w:t>S</w:t>
      </w:r>
      <w:r w:rsidR="00B64397" w:rsidRPr="004943FD">
        <w:rPr>
          <w:rFonts w:ascii="Arial" w:hAnsi="Arial" w:cs="Arial"/>
        </w:rPr>
        <w:t>afety) Regulations 2010</w:t>
      </w:r>
      <w:r w:rsidR="00EE1DC8" w:rsidRPr="004943FD">
        <w:rPr>
          <w:rFonts w:ascii="Arial" w:hAnsi="Arial" w:cs="Arial"/>
        </w:rPr>
        <w:t>.</w:t>
      </w:r>
    </w:p>
    <w:p w14:paraId="214D3715" w14:textId="77777777" w:rsidR="006351F1" w:rsidRPr="00EE1DC8" w:rsidRDefault="00BF19CB" w:rsidP="006351F1">
      <w:pPr>
        <w:spacing w:before="240" w:after="120"/>
        <w:rPr>
          <w:rFonts w:cs="Arial"/>
          <w:b/>
          <w:color w:val="auto"/>
          <w:sz w:val="22"/>
          <w:szCs w:val="22"/>
        </w:rPr>
      </w:pPr>
      <w:r w:rsidRPr="00A81435">
        <w:rPr>
          <w:b/>
          <w:color w:val="auto"/>
          <w:sz w:val="22"/>
          <w:szCs w:val="22"/>
        </w:rPr>
        <w:t>Resources</w:t>
      </w:r>
    </w:p>
    <w:p w14:paraId="1ADE002D" w14:textId="130209F4" w:rsidR="00DA2445" w:rsidRPr="0016093F" w:rsidRDefault="00CF1416" w:rsidP="0024030C">
      <w:pPr>
        <w:pStyle w:val="Resourcelist"/>
        <w:spacing w:after="120"/>
        <w:rPr>
          <w:rStyle w:val="Hyperlink"/>
          <w:rFonts w:ascii="Arial" w:hAnsi="Arial" w:cs="Arial"/>
          <w:color w:val="0000FF"/>
        </w:rPr>
      </w:pPr>
      <w:hyperlink r:id="rId150" w:history="1">
        <w:r w:rsidR="00DA2445" w:rsidRPr="0016093F">
          <w:rPr>
            <w:rStyle w:val="Hyperlink"/>
            <w:rFonts w:ascii="Arial" w:hAnsi="Arial" w:cs="Arial"/>
            <w:color w:val="0000FF"/>
          </w:rPr>
          <w:t>WorkSafe New Zealand</w:t>
        </w:r>
      </w:hyperlink>
    </w:p>
    <w:p w14:paraId="662E798C" w14:textId="609CEB45" w:rsidR="00DA2445" w:rsidRPr="0016093F" w:rsidRDefault="00CF1416" w:rsidP="0024030C">
      <w:pPr>
        <w:pStyle w:val="Resourcelist"/>
        <w:spacing w:after="120"/>
        <w:rPr>
          <w:rStyle w:val="Hyperlink"/>
          <w:rFonts w:ascii="Arial" w:hAnsi="Arial" w:cs="Arial"/>
          <w:color w:val="0000FF"/>
        </w:rPr>
      </w:pPr>
      <w:hyperlink r:id="rId151" w:history="1">
        <w:r w:rsidR="00A174F5" w:rsidRPr="0016093F">
          <w:rPr>
            <w:rStyle w:val="Hyperlink"/>
            <w:rFonts w:ascii="Arial" w:hAnsi="Arial" w:cs="Arial"/>
            <w:color w:val="0000FF"/>
          </w:rPr>
          <w:t>Works</w:t>
        </w:r>
        <w:r w:rsidR="00361CD6" w:rsidRPr="0016093F">
          <w:rPr>
            <w:rStyle w:val="Hyperlink"/>
            <w:rFonts w:ascii="Arial" w:hAnsi="Arial" w:cs="Arial"/>
            <w:color w:val="0000FF"/>
          </w:rPr>
          <w:t>afe</w:t>
        </w:r>
        <w:r w:rsidR="00A174F5" w:rsidRPr="0016093F">
          <w:rPr>
            <w:rStyle w:val="Hyperlink"/>
            <w:rFonts w:ascii="Arial" w:hAnsi="Arial" w:cs="Arial"/>
            <w:color w:val="0000FF"/>
          </w:rPr>
          <w:t xml:space="preserve"> New Zealand</w:t>
        </w:r>
        <w:r w:rsidR="00435278" w:rsidRPr="0016093F">
          <w:rPr>
            <w:rStyle w:val="Hyperlink"/>
            <w:rFonts w:ascii="Arial" w:hAnsi="Arial" w:cs="Arial"/>
            <w:color w:val="0000FF"/>
          </w:rPr>
          <w:t>:</w:t>
        </w:r>
        <w:r w:rsidR="00A174F5" w:rsidRPr="0016093F">
          <w:rPr>
            <w:rStyle w:val="Hyperlink"/>
            <w:rFonts w:ascii="Arial" w:hAnsi="Arial" w:cs="Arial"/>
            <w:color w:val="0000FF"/>
          </w:rPr>
          <w:t xml:space="preserve"> </w:t>
        </w:r>
        <w:r w:rsidR="00EC5498" w:rsidRPr="0016093F">
          <w:rPr>
            <w:rStyle w:val="Hyperlink"/>
            <w:rFonts w:ascii="Arial" w:hAnsi="Arial" w:cs="Arial"/>
            <w:color w:val="0000FF"/>
          </w:rPr>
          <w:t>Managing health and safety</w:t>
        </w:r>
      </w:hyperlink>
    </w:p>
    <w:p w14:paraId="3047ED4B" w14:textId="6F07B696" w:rsidR="00361CD6" w:rsidRPr="0016093F" w:rsidRDefault="00CF1416" w:rsidP="0024030C">
      <w:pPr>
        <w:pStyle w:val="Resourcelist"/>
        <w:spacing w:after="120"/>
        <w:rPr>
          <w:rStyle w:val="Hyperlink"/>
          <w:rFonts w:ascii="Arial" w:hAnsi="Arial" w:cs="Arial"/>
          <w:color w:val="0000FF"/>
        </w:rPr>
      </w:pPr>
      <w:hyperlink r:id="rId152" w:history="1">
        <w:r w:rsidR="00361CD6" w:rsidRPr="0016093F">
          <w:rPr>
            <w:rStyle w:val="Hyperlink"/>
            <w:rFonts w:ascii="Arial" w:hAnsi="Arial" w:cs="Arial"/>
            <w:color w:val="0000FF"/>
          </w:rPr>
          <w:t>Worksafe New Zealand</w:t>
        </w:r>
        <w:r w:rsidR="00435278" w:rsidRPr="0016093F">
          <w:rPr>
            <w:rStyle w:val="Hyperlink"/>
            <w:rFonts w:ascii="Arial" w:hAnsi="Arial" w:cs="Arial"/>
            <w:color w:val="0000FF"/>
          </w:rPr>
          <w:t>:</w:t>
        </w:r>
        <w:r w:rsidR="00361CD6" w:rsidRPr="0016093F">
          <w:rPr>
            <w:rStyle w:val="Hyperlink"/>
            <w:rFonts w:ascii="Arial" w:hAnsi="Arial" w:cs="Arial"/>
            <w:color w:val="0000FF"/>
          </w:rPr>
          <w:t xml:space="preserve"> What the Hazardous Substances Regulations mean for you</w:t>
        </w:r>
      </w:hyperlink>
    </w:p>
    <w:p w14:paraId="6487F2DE" w14:textId="620BC7FF" w:rsidR="00361CD6" w:rsidRPr="0016093F" w:rsidRDefault="00CF1416" w:rsidP="0024030C">
      <w:pPr>
        <w:pStyle w:val="Resourcelist"/>
        <w:spacing w:after="120"/>
        <w:rPr>
          <w:rStyle w:val="Hyperlink"/>
          <w:rFonts w:ascii="Arial" w:hAnsi="Arial" w:cs="Arial"/>
          <w:color w:val="0000FF"/>
        </w:rPr>
      </w:pPr>
      <w:hyperlink r:id="rId153" w:history="1">
        <w:r w:rsidR="00361CD6" w:rsidRPr="0016093F">
          <w:rPr>
            <w:rStyle w:val="Hyperlink"/>
            <w:rFonts w:ascii="Arial" w:hAnsi="Arial" w:cs="Arial"/>
            <w:color w:val="0000FF"/>
          </w:rPr>
          <w:t xml:space="preserve">Ministry of </w:t>
        </w:r>
        <w:r w:rsidR="0018072B" w:rsidRPr="0016093F">
          <w:rPr>
            <w:rStyle w:val="Hyperlink"/>
            <w:rFonts w:ascii="Arial" w:hAnsi="Arial" w:cs="Arial"/>
            <w:color w:val="0000FF"/>
          </w:rPr>
          <w:t>Business, Innovation and Employment</w:t>
        </w:r>
        <w:r w:rsidR="00435278" w:rsidRPr="0016093F">
          <w:rPr>
            <w:rStyle w:val="Hyperlink"/>
            <w:rFonts w:ascii="Arial" w:hAnsi="Arial" w:cs="Arial"/>
            <w:color w:val="0000FF"/>
          </w:rPr>
          <w:t>:</w:t>
        </w:r>
        <w:r w:rsidR="0018072B" w:rsidRPr="0016093F">
          <w:rPr>
            <w:rStyle w:val="Hyperlink"/>
            <w:rFonts w:ascii="Arial" w:hAnsi="Arial" w:cs="Arial"/>
            <w:color w:val="0000FF"/>
          </w:rPr>
          <w:t xml:space="preserve"> Working Safely With Hazardous Substances</w:t>
        </w:r>
      </w:hyperlink>
    </w:p>
    <w:p w14:paraId="7CCD8440" w14:textId="3455DFF2" w:rsidR="006351F1" w:rsidRPr="0016093F" w:rsidRDefault="00CF1416" w:rsidP="0024030C">
      <w:pPr>
        <w:pStyle w:val="Resourcelist"/>
        <w:spacing w:after="120"/>
        <w:rPr>
          <w:rStyle w:val="Hyperlink"/>
          <w:rFonts w:ascii="Arial" w:hAnsi="Arial" w:cs="Arial"/>
          <w:color w:val="0000FF"/>
        </w:rPr>
      </w:pPr>
      <w:hyperlink r:id="rId154" w:history="1">
        <w:r w:rsidR="006351F1" w:rsidRPr="0016093F">
          <w:rPr>
            <w:rStyle w:val="Hyperlink"/>
            <w:rFonts w:ascii="Arial" w:hAnsi="Arial" w:cs="Arial"/>
            <w:color w:val="0000FF"/>
          </w:rPr>
          <w:t>RNZCGP: Health and safety things to think about April 2016</w:t>
        </w:r>
      </w:hyperlink>
    </w:p>
    <w:p w14:paraId="5DDAEF6D" w14:textId="275DD86F" w:rsidR="00EC5498" w:rsidRPr="0016093F" w:rsidRDefault="00CF1416" w:rsidP="0024030C">
      <w:pPr>
        <w:pStyle w:val="Resourcelist"/>
        <w:spacing w:after="120"/>
        <w:rPr>
          <w:rStyle w:val="Hyperlink"/>
          <w:rFonts w:ascii="Arial" w:hAnsi="Arial" w:cs="Arial"/>
          <w:color w:val="0000FF"/>
        </w:rPr>
      </w:pPr>
      <w:hyperlink r:id="rId155" w:history="1">
        <w:r w:rsidR="00EC5498" w:rsidRPr="0016093F">
          <w:rPr>
            <w:rStyle w:val="Hyperlink"/>
            <w:rFonts w:ascii="Arial" w:hAnsi="Arial" w:cs="Arial"/>
            <w:color w:val="0000FF"/>
          </w:rPr>
          <w:t>Institute of Directors</w:t>
        </w:r>
        <w:r w:rsidR="00BB4F4F" w:rsidRPr="0016093F">
          <w:rPr>
            <w:rStyle w:val="Hyperlink"/>
            <w:rFonts w:ascii="Arial" w:hAnsi="Arial" w:cs="Arial"/>
            <w:color w:val="0000FF"/>
          </w:rPr>
          <w:t>:</w:t>
        </w:r>
        <w:r w:rsidR="00EC5498" w:rsidRPr="0016093F">
          <w:rPr>
            <w:rStyle w:val="Hyperlink"/>
            <w:rFonts w:ascii="Arial" w:hAnsi="Arial" w:cs="Arial"/>
            <w:color w:val="0000FF"/>
          </w:rPr>
          <w:t xml:space="preserve"> </w:t>
        </w:r>
        <w:r w:rsidR="006351F1" w:rsidRPr="0016093F">
          <w:rPr>
            <w:rStyle w:val="Hyperlink"/>
            <w:rFonts w:ascii="Arial" w:hAnsi="Arial" w:cs="Arial"/>
            <w:color w:val="0000FF"/>
          </w:rPr>
          <w:t xml:space="preserve">Health and </w:t>
        </w:r>
        <w:r w:rsidR="00BB4F4F" w:rsidRPr="0016093F">
          <w:rPr>
            <w:rStyle w:val="Hyperlink"/>
            <w:rFonts w:ascii="Arial" w:hAnsi="Arial" w:cs="Arial"/>
            <w:color w:val="0000FF"/>
          </w:rPr>
          <w:t>S</w:t>
        </w:r>
        <w:r w:rsidR="006351F1" w:rsidRPr="0016093F">
          <w:rPr>
            <w:rStyle w:val="Hyperlink"/>
            <w:rFonts w:ascii="Arial" w:hAnsi="Arial" w:cs="Arial"/>
            <w:color w:val="0000FF"/>
          </w:rPr>
          <w:t xml:space="preserve">afety leadership: </w:t>
        </w:r>
        <w:r w:rsidR="00BB4F4F" w:rsidRPr="0016093F">
          <w:rPr>
            <w:rStyle w:val="Hyperlink"/>
            <w:rFonts w:ascii="Arial" w:hAnsi="Arial" w:cs="Arial"/>
            <w:color w:val="0000FF"/>
          </w:rPr>
          <w:t>A</w:t>
        </w:r>
        <w:r w:rsidR="006351F1" w:rsidRPr="0016093F">
          <w:rPr>
            <w:rStyle w:val="Hyperlink"/>
            <w:rFonts w:ascii="Arial" w:hAnsi="Arial" w:cs="Arial"/>
            <w:color w:val="0000FF"/>
          </w:rPr>
          <w:t xml:space="preserve"> guide for small to medium business owners and company directors</w:t>
        </w:r>
      </w:hyperlink>
    </w:p>
    <w:p w14:paraId="718A962D" w14:textId="3AA75C17" w:rsidR="00E67FF4" w:rsidRPr="0018072B" w:rsidRDefault="00E67FF4" w:rsidP="0018072B">
      <w:pPr>
        <w:pStyle w:val="Resourcelist"/>
        <w:spacing w:after="0"/>
        <w:ind w:left="568"/>
        <w:rPr>
          <w:b/>
          <w:color w:val="EE7624"/>
          <w:sz w:val="28"/>
        </w:rPr>
      </w:pPr>
    </w:p>
    <w:p w14:paraId="5B6383B3" w14:textId="6720FAC7" w:rsidR="006351F1" w:rsidRPr="00EE1DC8" w:rsidRDefault="00CF1416" w:rsidP="00B64397">
      <w:pPr>
        <w:pStyle w:val="Resourcelist"/>
        <w:ind w:left="568"/>
        <w:rPr>
          <w:rFonts w:ascii="Arial" w:hAnsi="Arial" w:cs="Arial"/>
        </w:rPr>
      </w:pPr>
      <w:hyperlink r:id="rId156" w:history="1"/>
    </w:p>
    <w:p w14:paraId="629386F7" w14:textId="49962D1B" w:rsidR="004C60BD" w:rsidRDefault="004C60BD" w:rsidP="00BF19CB">
      <w:pPr>
        <w:spacing w:after="0"/>
        <w:rPr>
          <w:b/>
          <w:color w:val="EE7624"/>
          <w:sz w:val="28"/>
        </w:rPr>
      </w:pPr>
      <w:r>
        <w:rPr>
          <w:b/>
          <w:color w:val="EE7624"/>
          <w:sz w:val="28"/>
        </w:rPr>
        <w:br w:type="page"/>
      </w:r>
    </w:p>
    <w:p w14:paraId="55A44A70" w14:textId="7EB9EA67" w:rsidR="00407048" w:rsidRPr="00C55F31" w:rsidRDefault="00CC7D6B" w:rsidP="008D486E">
      <w:pPr>
        <w:pStyle w:val="HHLSubHeading"/>
        <w:numPr>
          <w:ilvl w:val="0"/>
          <w:numId w:val="0"/>
        </w:numPr>
        <w:tabs>
          <w:tab w:val="left" w:pos="1560"/>
        </w:tabs>
      </w:pPr>
      <w:bookmarkStart w:id="61" w:name="_Toc6998680"/>
      <w:r w:rsidRPr="00C55F31">
        <w:lastRenderedPageBreak/>
        <w:t xml:space="preserve">Indicator </w:t>
      </w:r>
      <w:r w:rsidR="009F11A2">
        <w:t>20</w:t>
      </w:r>
      <w:r w:rsidRPr="00C55F31">
        <w:t>.</w:t>
      </w:r>
      <w:r w:rsidR="008D486E">
        <w:tab/>
      </w:r>
      <w:r w:rsidR="00421D5B">
        <w:t>Employee and contractor s</w:t>
      </w:r>
      <w:r w:rsidR="00407048" w:rsidRPr="00C55F31">
        <w:t>afety checking procedures</w:t>
      </w:r>
      <w:bookmarkEnd w:id="61"/>
    </w:p>
    <w:p w14:paraId="2F7F2809" w14:textId="5AA3B6AF" w:rsidR="00CC7D6B" w:rsidRPr="00407048" w:rsidRDefault="00CC7D6B" w:rsidP="00407048">
      <w:pPr>
        <w:pStyle w:val="HHLBodyText"/>
        <w:rPr>
          <w:b/>
        </w:rPr>
      </w:pPr>
      <w:r w:rsidRPr="00407048">
        <w:rPr>
          <w:b/>
        </w:rPr>
        <w:t xml:space="preserve">Our </w:t>
      </w:r>
      <w:r w:rsidR="004B6FB2" w:rsidRPr="00407048">
        <w:rPr>
          <w:b/>
        </w:rPr>
        <w:t>practice has appropriate safety checking procedures</w:t>
      </w:r>
      <w:r w:rsidRPr="00407048">
        <w:rPr>
          <w:b/>
        </w:rPr>
        <w:t>.</w:t>
      </w:r>
    </w:p>
    <w:tbl>
      <w:tblPr>
        <w:tblStyle w:val="TableGrid1"/>
        <w:tblW w:w="0" w:type="auto"/>
        <w:tblLook w:val="04A0" w:firstRow="1" w:lastRow="0" w:firstColumn="1" w:lastColumn="0" w:noHBand="0" w:noVBand="1"/>
      </w:tblPr>
      <w:tblGrid>
        <w:gridCol w:w="1151"/>
        <w:gridCol w:w="4539"/>
        <w:gridCol w:w="4052"/>
      </w:tblGrid>
      <w:tr w:rsidR="00CC7D6B" w:rsidRPr="00A81435" w14:paraId="218F6924" w14:textId="77777777" w:rsidTr="004B6FB2">
        <w:tc>
          <w:tcPr>
            <w:tcW w:w="1153" w:type="dxa"/>
            <w:shd w:val="clear" w:color="auto" w:fill="FBD4B4" w:themeFill="accent6" w:themeFillTint="66"/>
          </w:tcPr>
          <w:p w14:paraId="3C2F9FC3" w14:textId="77777777" w:rsidR="00CC7D6B" w:rsidRPr="00A81435" w:rsidRDefault="00CC7D6B" w:rsidP="004B6FB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0A10C20D" w14:textId="77777777" w:rsidR="00CC7D6B" w:rsidRPr="00A81435" w:rsidRDefault="00CC7D6B" w:rsidP="004B6FB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3FF127C4" w14:textId="10928716" w:rsidR="00CC7D6B" w:rsidRPr="00A81435" w:rsidRDefault="00CC7D6B" w:rsidP="004B6FB2">
            <w:pPr>
              <w:spacing w:before="120" w:after="120"/>
              <w:rPr>
                <w:b/>
                <w:color w:val="auto"/>
                <w:sz w:val="22"/>
                <w:szCs w:val="22"/>
              </w:rPr>
            </w:pPr>
            <w:r w:rsidRPr="00A81435">
              <w:rPr>
                <w:b/>
                <w:color w:val="auto"/>
                <w:sz w:val="22"/>
                <w:szCs w:val="22"/>
              </w:rPr>
              <w:t>Required evidence</w:t>
            </w:r>
          </w:p>
        </w:tc>
      </w:tr>
      <w:tr w:rsidR="0053653F" w:rsidRPr="00A81435" w14:paraId="699568C4" w14:textId="77777777" w:rsidTr="004B6FB2">
        <w:tc>
          <w:tcPr>
            <w:tcW w:w="1153" w:type="dxa"/>
          </w:tcPr>
          <w:p w14:paraId="15C142E0" w14:textId="60233FF2" w:rsidR="0053653F" w:rsidRPr="0031206B" w:rsidRDefault="0053653F" w:rsidP="004B6FB2">
            <w:pPr>
              <w:spacing w:before="60"/>
              <w:rPr>
                <w:color w:val="auto"/>
                <w:sz w:val="22"/>
                <w:szCs w:val="22"/>
              </w:rPr>
            </w:pPr>
            <w:r>
              <w:rPr>
                <w:color w:val="auto"/>
                <w:sz w:val="22"/>
                <w:szCs w:val="22"/>
              </w:rPr>
              <w:t>20</w:t>
            </w:r>
            <w:r w:rsidRPr="0031206B">
              <w:rPr>
                <w:color w:val="auto"/>
                <w:sz w:val="22"/>
                <w:szCs w:val="22"/>
              </w:rPr>
              <w:t>.1</w:t>
            </w:r>
          </w:p>
        </w:tc>
        <w:tc>
          <w:tcPr>
            <w:tcW w:w="4568" w:type="dxa"/>
          </w:tcPr>
          <w:p w14:paraId="322F5914" w14:textId="1035E2D7" w:rsidR="0053653F" w:rsidRPr="0031206B" w:rsidRDefault="0053653F" w:rsidP="004B6FB2">
            <w:pPr>
              <w:spacing w:before="60"/>
              <w:rPr>
                <w:rFonts w:cs="Arial"/>
                <w:color w:val="auto"/>
                <w:sz w:val="22"/>
                <w:szCs w:val="22"/>
              </w:rPr>
            </w:pPr>
            <w:r w:rsidRPr="00D67EE1">
              <w:rPr>
                <w:rFonts w:cs="Arial"/>
                <w:color w:val="auto"/>
                <w:sz w:val="22"/>
                <w:szCs w:val="22"/>
              </w:rPr>
              <w:t xml:space="preserve">Have </w:t>
            </w:r>
            <w:r>
              <w:rPr>
                <w:rFonts w:cs="Arial"/>
                <w:color w:val="auto"/>
                <w:sz w:val="22"/>
                <w:szCs w:val="22"/>
              </w:rPr>
              <w:t>a</w:t>
            </w:r>
            <w:r>
              <w:rPr>
                <w:color w:val="auto"/>
                <w:sz w:val="22"/>
                <w:szCs w:val="22"/>
              </w:rPr>
              <w:t>nd apply a C</w:t>
            </w:r>
            <w:r w:rsidRPr="00D67EE1">
              <w:rPr>
                <w:rFonts w:cs="Arial"/>
                <w:color w:val="auto"/>
                <w:sz w:val="22"/>
                <w:szCs w:val="22"/>
              </w:rPr>
              <w:t xml:space="preserve">hild </w:t>
            </w:r>
            <w:r>
              <w:rPr>
                <w:rFonts w:cs="Arial"/>
                <w:color w:val="auto"/>
                <w:sz w:val="22"/>
                <w:szCs w:val="22"/>
              </w:rPr>
              <w:t>P</w:t>
            </w:r>
            <w:r w:rsidRPr="00D67EE1">
              <w:rPr>
                <w:rFonts w:cs="Arial"/>
                <w:color w:val="auto"/>
                <w:sz w:val="22"/>
                <w:szCs w:val="22"/>
              </w:rPr>
              <w:t xml:space="preserve">rotection </w:t>
            </w:r>
            <w:r>
              <w:rPr>
                <w:rFonts w:cs="Arial"/>
                <w:color w:val="auto"/>
                <w:sz w:val="22"/>
                <w:szCs w:val="22"/>
              </w:rPr>
              <w:t>P</w:t>
            </w:r>
            <w:r w:rsidRPr="00D67EE1">
              <w:rPr>
                <w:rFonts w:cs="Arial"/>
                <w:color w:val="auto"/>
                <w:sz w:val="22"/>
                <w:szCs w:val="22"/>
              </w:rPr>
              <w:t>olicy</w:t>
            </w:r>
            <w:r>
              <w:rPr>
                <w:rFonts w:cs="Arial"/>
                <w:color w:val="auto"/>
                <w:sz w:val="22"/>
                <w:szCs w:val="22"/>
              </w:rPr>
              <w:t xml:space="preserve"> and Safety Checking Procedure</w:t>
            </w:r>
            <w:r w:rsidRPr="00D67EE1">
              <w:rPr>
                <w:rFonts w:cs="Arial"/>
                <w:color w:val="auto"/>
                <w:sz w:val="22"/>
                <w:szCs w:val="22"/>
              </w:rPr>
              <w:t xml:space="preserve"> in accordance with the Vulnerable Children Act 2014.</w:t>
            </w:r>
          </w:p>
        </w:tc>
        <w:tc>
          <w:tcPr>
            <w:tcW w:w="4075" w:type="dxa"/>
          </w:tcPr>
          <w:p w14:paraId="3C93E9A7" w14:textId="77777777" w:rsidR="0053653F" w:rsidRPr="008A7358" w:rsidRDefault="0053653F" w:rsidP="008A7358">
            <w:pPr>
              <w:spacing w:before="60" w:line="257" w:lineRule="auto"/>
              <w:ind w:left="14"/>
              <w:rPr>
                <w:color w:val="auto"/>
                <w:sz w:val="22"/>
                <w:szCs w:val="22"/>
              </w:rPr>
            </w:pPr>
            <w:r w:rsidRPr="008A7358">
              <w:rPr>
                <w:color w:val="auto"/>
                <w:sz w:val="22"/>
                <w:szCs w:val="22"/>
              </w:rPr>
              <w:t>A documented C</w:t>
            </w:r>
            <w:r w:rsidRPr="008A7358">
              <w:rPr>
                <w:rFonts w:cs="Arial"/>
                <w:color w:val="auto"/>
                <w:sz w:val="22"/>
                <w:szCs w:val="22"/>
              </w:rPr>
              <w:t>hild Protection Policy and Safety Checking Procedure</w:t>
            </w:r>
            <w:r w:rsidRPr="008A7358">
              <w:rPr>
                <w:color w:val="auto"/>
                <w:sz w:val="22"/>
                <w:szCs w:val="22"/>
              </w:rPr>
              <w:t xml:space="preserve">. </w:t>
            </w:r>
          </w:p>
          <w:p w14:paraId="02A40661" w14:textId="500B6FDD" w:rsidR="0053653F" w:rsidRPr="008A7358" w:rsidRDefault="0053653F" w:rsidP="008A7358">
            <w:pPr>
              <w:spacing w:before="60" w:line="257" w:lineRule="auto"/>
              <w:ind w:left="14"/>
              <w:rPr>
                <w:color w:val="auto"/>
                <w:sz w:val="22"/>
                <w:szCs w:val="22"/>
              </w:rPr>
            </w:pPr>
            <w:r w:rsidRPr="008A7358">
              <w:rPr>
                <w:color w:val="auto"/>
                <w:sz w:val="22"/>
                <w:szCs w:val="22"/>
              </w:rPr>
              <w:t>Documented safety checks</w:t>
            </w:r>
            <w:r w:rsidR="001803C7" w:rsidRPr="008A7358">
              <w:rPr>
                <w:color w:val="auto"/>
                <w:sz w:val="22"/>
                <w:szCs w:val="22"/>
              </w:rPr>
              <w:t>, including Police vetting,</w:t>
            </w:r>
            <w:r w:rsidRPr="008A7358">
              <w:rPr>
                <w:color w:val="auto"/>
                <w:sz w:val="22"/>
                <w:szCs w:val="22"/>
              </w:rPr>
              <w:t xml:space="preserve"> for employees and contractors. </w:t>
            </w:r>
          </w:p>
        </w:tc>
      </w:tr>
      <w:tr w:rsidR="00BE6992" w:rsidRPr="00A81435" w14:paraId="02CBFE16" w14:textId="77777777" w:rsidTr="004B6FB2">
        <w:tc>
          <w:tcPr>
            <w:tcW w:w="1153" w:type="dxa"/>
          </w:tcPr>
          <w:p w14:paraId="78311D07" w14:textId="177D35A4" w:rsidR="00BE6992" w:rsidRPr="0031206B" w:rsidRDefault="009F11A2" w:rsidP="004B6FB2">
            <w:pPr>
              <w:spacing w:before="60"/>
              <w:rPr>
                <w:color w:val="auto"/>
                <w:sz w:val="22"/>
                <w:szCs w:val="22"/>
              </w:rPr>
            </w:pPr>
            <w:r>
              <w:rPr>
                <w:color w:val="auto"/>
                <w:sz w:val="22"/>
                <w:szCs w:val="22"/>
              </w:rPr>
              <w:t>20</w:t>
            </w:r>
            <w:r w:rsidR="00BE6992">
              <w:rPr>
                <w:color w:val="auto"/>
                <w:sz w:val="22"/>
                <w:szCs w:val="22"/>
              </w:rPr>
              <w:t>.</w:t>
            </w:r>
            <w:r w:rsidR="0053653F">
              <w:rPr>
                <w:color w:val="auto"/>
                <w:sz w:val="22"/>
                <w:szCs w:val="22"/>
              </w:rPr>
              <w:t>2</w:t>
            </w:r>
          </w:p>
        </w:tc>
        <w:tc>
          <w:tcPr>
            <w:tcW w:w="4568" w:type="dxa"/>
          </w:tcPr>
          <w:p w14:paraId="0F338DF5" w14:textId="51A6855D" w:rsidR="00BE6992" w:rsidRPr="00500836" w:rsidRDefault="00BE6992" w:rsidP="0031206B">
            <w:pPr>
              <w:tabs>
                <w:tab w:val="left" w:pos="151"/>
              </w:tabs>
              <w:spacing w:before="60"/>
              <w:rPr>
                <w:rFonts w:cs="Arial"/>
                <w:color w:val="auto"/>
                <w:sz w:val="22"/>
                <w:szCs w:val="22"/>
              </w:rPr>
            </w:pPr>
            <w:r w:rsidRPr="00500836">
              <w:rPr>
                <w:rFonts w:cs="Arial"/>
                <w:color w:val="auto"/>
                <w:sz w:val="22"/>
                <w:szCs w:val="22"/>
              </w:rPr>
              <w:t xml:space="preserve">Ensure clinical team members maintain their annual </w:t>
            </w:r>
            <w:r w:rsidR="00573E02" w:rsidRPr="00500836">
              <w:rPr>
                <w:rFonts w:cs="Arial"/>
                <w:color w:val="auto"/>
                <w:sz w:val="22"/>
                <w:szCs w:val="22"/>
              </w:rPr>
              <w:t>practicing</w:t>
            </w:r>
            <w:r w:rsidRPr="00500836">
              <w:rPr>
                <w:rFonts w:cs="Arial"/>
                <w:color w:val="auto"/>
                <w:sz w:val="22"/>
                <w:szCs w:val="22"/>
              </w:rPr>
              <w:t xml:space="preserve"> certificate (APC)</w:t>
            </w:r>
            <w:r w:rsidR="00F62756">
              <w:rPr>
                <w:rFonts w:cs="Arial"/>
                <w:color w:val="auto"/>
                <w:sz w:val="22"/>
                <w:szCs w:val="22"/>
              </w:rPr>
              <w:t>.</w:t>
            </w:r>
          </w:p>
        </w:tc>
        <w:tc>
          <w:tcPr>
            <w:tcW w:w="4075" w:type="dxa"/>
          </w:tcPr>
          <w:p w14:paraId="36B74B11" w14:textId="0E8A584A" w:rsidR="00BE6992" w:rsidRPr="008A7358" w:rsidRDefault="00BE6992" w:rsidP="008A7358">
            <w:pPr>
              <w:spacing w:before="60" w:line="257" w:lineRule="auto"/>
              <w:ind w:left="14"/>
              <w:rPr>
                <w:color w:val="auto"/>
                <w:sz w:val="22"/>
                <w:szCs w:val="22"/>
              </w:rPr>
            </w:pPr>
            <w:r w:rsidRPr="008A7358">
              <w:rPr>
                <w:color w:val="auto"/>
                <w:sz w:val="22"/>
                <w:szCs w:val="22"/>
              </w:rPr>
              <w:t>Current annual practising certificates for clinical team members as required under the Health Practitioners Competence Assurance Act 2003.</w:t>
            </w:r>
          </w:p>
          <w:p w14:paraId="47D99F95" w14:textId="1376BAA8" w:rsidR="00BE6992" w:rsidRPr="008A7358" w:rsidRDefault="00500836" w:rsidP="008A7358">
            <w:pPr>
              <w:spacing w:before="60" w:line="257" w:lineRule="auto"/>
              <w:ind w:left="14"/>
              <w:rPr>
                <w:rFonts w:cs="Arial"/>
                <w:color w:val="auto"/>
                <w:sz w:val="22"/>
                <w:szCs w:val="22"/>
              </w:rPr>
            </w:pPr>
            <w:r w:rsidRPr="008A7358">
              <w:rPr>
                <w:color w:val="auto"/>
                <w:sz w:val="22"/>
                <w:szCs w:val="22"/>
              </w:rPr>
              <w:t>A</w:t>
            </w:r>
            <w:r w:rsidR="00BE6992" w:rsidRPr="008A7358">
              <w:rPr>
                <w:color w:val="auto"/>
                <w:sz w:val="22"/>
                <w:szCs w:val="22"/>
              </w:rPr>
              <w:t xml:space="preserve"> system for monitoring clinicians who are practising under conditions on their APC and ensuring clinicians are working within their scope of </w:t>
            </w:r>
            <w:r w:rsidR="002D3694" w:rsidRPr="008A7358">
              <w:rPr>
                <w:color w:val="auto"/>
                <w:sz w:val="22"/>
                <w:szCs w:val="22"/>
              </w:rPr>
              <w:t>practice</w:t>
            </w:r>
            <w:r w:rsidR="00BE6992" w:rsidRPr="008A7358">
              <w:rPr>
                <w:color w:val="auto"/>
                <w:sz w:val="22"/>
                <w:szCs w:val="22"/>
              </w:rPr>
              <w:t>.</w:t>
            </w:r>
          </w:p>
        </w:tc>
      </w:tr>
    </w:tbl>
    <w:p w14:paraId="4512B497" w14:textId="77777777" w:rsidR="00A2111E" w:rsidRPr="005B2DE1" w:rsidRDefault="00A2111E" w:rsidP="00A2111E">
      <w:pPr>
        <w:pStyle w:val="HHLBodyText"/>
        <w:spacing w:before="240"/>
        <w:rPr>
          <w:b/>
          <w:sz w:val="22"/>
          <w:szCs w:val="22"/>
        </w:rPr>
      </w:pPr>
      <w:r w:rsidRPr="005B2DE1">
        <w:rPr>
          <w:b/>
          <w:sz w:val="22"/>
          <w:szCs w:val="22"/>
        </w:rPr>
        <w:t>Required training</w:t>
      </w:r>
    </w:p>
    <w:p w14:paraId="0508154F" w14:textId="2B5430AF" w:rsidR="008F568C" w:rsidRPr="00EF0A0E" w:rsidRDefault="004C2487" w:rsidP="000A1CD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r w:rsidR="0091652A" w:rsidRPr="00EF0A0E">
        <w:rPr>
          <w:sz w:val="22"/>
          <w:szCs w:val="22"/>
        </w:rPr>
        <w:t xml:space="preserve"> </w:t>
      </w:r>
    </w:p>
    <w:p w14:paraId="23E10385" w14:textId="527E9618" w:rsidR="00CC7D6B" w:rsidRDefault="00CC7D6B" w:rsidP="00CC7D6B">
      <w:pPr>
        <w:spacing w:before="240" w:after="120"/>
        <w:rPr>
          <w:b/>
          <w:color w:val="auto"/>
          <w:sz w:val="22"/>
          <w:szCs w:val="22"/>
        </w:rPr>
      </w:pPr>
      <w:r w:rsidRPr="00A81435">
        <w:rPr>
          <w:b/>
          <w:color w:val="auto"/>
          <w:sz w:val="22"/>
          <w:szCs w:val="22"/>
        </w:rPr>
        <w:t>Guidance notes</w:t>
      </w:r>
    </w:p>
    <w:p w14:paraId="423979E8" w14:textId="147CB961" w:rsidR="007C2D40" w:rsidRPr="001055F6" w:rsidRDefault="007C2D40" w:rsidP="007C2D40">
      <w:pPr>
        <w:pStyle w:val="HHLBodyText"/>
        <w:rPr>
          <w:i/>
        </w:rPr>
      </w:pPr>
      <w:r w:rsidRPr="001055F6">
        <w:rPr>
          <w:i/>
        </w:rPr>
        <w:t>Scope of requirements under the Vulnerable Children Act 2014</w:t>
      </w:r>
    </w:p>
    <w:p w14:paraId="42E4CB50" w14:textId="209FDEE9" w:rsidR="007C2D40" w:rsidRDefault="007C2D40" w:rsidP="007C2D40">
      <w:pPr>
        <w:pStyle w:val="BodyText"/>
      </w:pPr>
      <w:r>
        <w:t xml:space="preserve">Under the Vulnerable Children Act 2014 specified organisations are required to undertake safety checks of </w:t>
      </w:r>
      <w:r w:rsidR="00F62756">
        <w:t xml:space="preserve">all staff </w:t>
      </w:r>
      <w:r>
        <w:t xml:space="preserve">they employ or engage. </w:t>
      </w:r>
      <w:r w:rsidR="00F62756">
        <w:t>M</w:t>
      </w:r>
      <w:r>
        <w:t>ost GPs and practice nurses will be children’s workers and will need to be safety checked.</w:t>
      </w:r>
    </w:p>
    <w:p w14:paraId="2F462070" w14:textId="575CD06C" w:rsidR="007C2D40" w:rsidRPr="000A1CD2" w:rsidRDefault="007C2D40" w:rsidP="00F11932">
      <w:pPr>
        <w:pStyle w:val="BodyText"/>
      </w:pPr>
      <w:r>
        <w:t>Public hospitals, publicly funded medical practices or facilities, medical practices belonging to PHOs, and other publicly funded providers of health services provide regulated service</w:t>
      </w:r>
      <w:r w:rsidR="004F4EE1">
        <w:t xml:space="preserve"> and are recognised as specified organisations</w:t>
      </w:r>
      <w:r>
        <w:t>.</w:t>
      </w:r>
    </w:p>
    <w:p w14:paraId="30573185" w14:textId="77777777" w:rsidR="007C2D40" w:rsidRPr="00BE26AD" w:rsidRDefault="007C2D40" w:rsidP="00BE26AD">
      <w:pPr>
        <w:spacing w:before="240" w:after="120"/>
        <w:rPr>
          <w:i/>
          <w:color w:val="auto"/>
          <w:sz w:val="24"/>
        </w:rPr>
      </w:pPr>
      <w:r w:rsidRPr="00BE26AD">
        <w:rPr>
          <w:i/>
          <w:color w:val="auto"/>
          <w:sz w:val="24"/>
        </w:rPr>
        <w:t>The required checks</w:t>
      </w:r>
    </w:p>
    <w:p w14:paraId="1C138413" w14:textId="51C2A5CE" w:rsidR="007C2D40" w:rsidRPr="000A1CD2" w:rsidRDefault="007C2D40" w:rsidP="007C2D40">
      <w:pPr>
        <w:pStyle w:val="BodyText"/>
      </w:pPr>
      <w:r>
        <w:t xml:space="preserve">The safety checks required for </w:t>
      </w:r>
      <w:r w:rsidR="00F11932">
        <w:t>all staff require a practice to do more than simply complete a Police vetting process. You are required to</w:t>
      </w:r>
      <w:r>
        <w:t>:</w:t>
      </w:r>
    </w:p>
    <w:p w14:paraId="33BE8EB1" w14:textId="77777777" w:rsidR="007C2D40" w:rsidRPr="000A1CD2" w:rsidRDefault="007C2D40" w:rsidP="008D486E">
      <w:pPr>
        <w:pStyle w:val="List1"/>
        <w:numPr>
          <w:ilvl w:val="0"/>
          <w:numId w:val="25"/>
        </w:numPr>
        <w:ind w:left="567" w:hanging="567"/>
        <w:rPr>
          <w:rStyle w:val="Strong"/>
          <w:rFonts w:ascii="Arial" w:hAnsi="Arial" w:cs="Arial"/>
          <w:color w:val="auto"/>
          <w:szCs w:val="20"/>
        </w:rPr>
      </w:pPr>
      <w:r w:rsidRPr="000A1CD2">
        <w:rPr>
          <w:rStyle w:val="Strong"/>
          <w:rFonts w:ascii="Arial" w:hAnsi="Arial" w:cs="Arial"/>
        </w:rPr>
        <w:t>Identity confirmation:</w:t>
      </w:r>
    </w:p>
    <w:p w14:paraId="3074E236" w14:textId="7F593161" w:rsidR="007C2D40" w:rsidRPr="000A1CD2" w:rsidRDefault="007C2D40" w:rsidP="008D486E">
      <w:pPr>
        <w:pStyle w:val="Lista"/>
        <w:numPr>
          <w:ilvl w:val="0"/>
          <w:numId w:val="17"/>
        </w:numPr>
        <w:spacing w:after="60"/>
        <w:ind w:left="1134" w:hanging="567"/>
        <w:rPr>
          <w:rFonts w:ascii="Arial" w:hAnsi="Arial" w:cs="Arial"/>
        </w:rPr>
      </w:pPr>
      <w:r w:rsidRPr="000A1CD2">
        <w:rPr>
          <w:rFonts w:ascii="Arial" w:hAnsi="Arial" w:cs="Arial"/>
        </w:rPr>
        <w:t>Through an electronic identity credential (e.g. the RealMe identity verification service), and a search of personnel records</w:t>
      </w:r>
      <w:r w:rsidR="00C375D3">
        <w:rPr>
          <w:rFonts w:ascii="Arial" w:hAnsi="Arial" w:cs="Arial"/>
        </w:rPr>
        <w:t>,</w:t>
      </w:r>
      <w:r w:rsidRPr="000A1CD2">
        <w:rPr>
          <w:rFonts w:ascii="Arial" w:hAnsi="Arial" w:cs="Arial"/>
        </w:rPr>
        <w:t xml:space="preserve"> establish the uniqueness of the claimed identity.</w:t>
      </w:r>
    </w:p>
    <w:p w14:paraId="0F16F727" w14:textId="77777777" w:rsidR="007C2D40" w:rsidRPr="000A1CD2" w:rsidRDefault="007C2D40" w:rsidP="008D486E">
      <w:pPr>
        <w:pStyle w:val="Lista"/>
        <w:numPr>
          <w:ilvl w:val="0"/>
          <w:numId w:val="17"/>
        </w:numPr>
        <w:spacing w:after="60"/>
        <w:ind w:left="1134" w:hanging="567"/>
        <w:rPr>
          <w:rFonts w:ascii="Arial" w:hAnsi="Arial" w:cs="Arial"/>
        </w:rPr>
      </w:pPr>
      <w:r w:rsidRPr="000A1CD2">
        <w:rPr>
          <w:rFonts w:ascii="Arial" w:hAnsi="Arial" w:cs="Arial"/>
        </w:rPr>
        <w:t>Following the regulatory process to establish:</w:t>
      </w:r>
    </w:p>
    <w:p w14:paraId="7F145C38" w14:textId="706D9E4F" w:rsidR="007C2D40" w:rsidRPr="000A1CD2" w:rsidRDefault="007C2D40" w:rsidP="008D486E">
      <w:pPr>
        <w:pStyle w:val="Listi"/>
        <w:spacing w:after="60"/>
        <w:ind w:left="1560" w:hanging="426"/>
        <w:rPr>
          <w:rFonts w:ascii="Arial" w:hAnsi="Arial" w:cs="Arial"/>
        </w:rPr>
      </w:pPr>
      <w:r w:rsidRPr="000A1CD2">
        <w:rPr>
          <w:rFonts w:ascii="Arial" w:hAnsi="Arial" w:cs="Arial"/>
        </w:rPr>
        <w:t>(i)</w:t>
      </w:r>
      <w:r w:rsidRPr="000A1CD2">
        <w:rPr>
          <w:rFonts w:ascii="Arial" w:hAnsi="Arial" w:cs="Arial"/>
        </w:rPr>
        <w:tab/>
      </w:r>
      <w:r w:rsidR="00C375D3">
        <w:rPr>
          <w:rFonts w:ascii="Arial" w:hAnsi="Arial" w:cs="Arial"/>
        </w:rPr>
        <w:t>T</w:t>
      </w:r>
      <w:r w:rsidRPr="000A1CD2">
        <w:rPr>
          <w:rFonts w:ascii="Arial" w:hAnsi="Arial" w:cs="Arial"/>
        </w:rPr>
        <w:t xml:space="preserve">he identity exists by checking an original primary identity document </w:t>
      </w:r>
      <w:r w:rsidRPr="000A1CD2">
        <w:rPr>
          <w:rStyle w:val="Queryinred"/>
          <w:rFonts w:ascii="Arial" w:hAnsi="Arial" w:cs="Arial"/>
          <w:color w:val="000000"/>
        </w:rPr>
        <w:t>(as</w:t>
      </w:r>
      <w:r w:rsidRPr="000A1CD2">
        <w:rPr>
          <w:rFonts w:ascii="Arial" w:hAnsi="Arial" w:cs="Arial"/>
        </w:rPr>
        <w:t xml:space="preserve"> listed in Part 1 of the Schedule of the Vulnerable Children </w:t>
      </w:r>
      <w:r w:rsidRPr="000A1CD2">
        <w:rPr>
          <w:rStyle w:val="Queryinred"/>
          <w:rFonts w:ascii="Arial" w:hAnsi="Arial" w:cs="Arial"/>
          <w:color w:val="000000"/>
        </w:rPr>
        <w:t>(Requirements</w:t>
      </w:r>
      <w:r w:rsidRPr="000A1CD2">
        <w:rPr>
          <w:rFonts w:ascii="Arial" w:hAnsi="Arial" w:cs="Arial"/>
        </w:rPr>
        <w:t xml:space="preserve"> for Safety Checks of Children’s </w:t>
      </w:r>
      <w:r w:rsidRPr="000A1CD2">
        <w:rPr>
          <w:rStyle w:val="Queryinred"/>
          <w:rFonts w:ascii="Arial" w:hAnsi="Arial" w:cs="Arial"/>
          <w:color w:val="000000"/>
        </w:rPr>
        <w:t>Workers)</w:t>
      </w:r>
      <w:r w:rsidRPr="000A1CD2">
        <w:rPr>
          <w:rFonts w:ascii="Arial" w:hAnsi="Arial" w:cs="Arial"/>
        </w:rPr>
        <w:t xml:space="preserve"> Regulations </w:t>
      </w:r>
      <w:r w:rsidRPr="000A1CD2">
        <w:rPr>
          <w:rStyle w:val="Queryinred"/>
          <w:rFonts w:ascii="Arial" w:hAnsi="Arial" w:cs="Arial"/>
          <w:color w:val="000000"/>
        </w:rPr>
        <w:t>2015)</w:t>
      </w:r>
      <w:r w:rsidR="000A03CC">
        <w:rPr>
          <w:rStyle w:val="Queryinred"/>
          <w:rFonts w:ascii="Arial" w:hAnsi="Arial" w:cs="Arial"/>
          <w:color w:val="000000"/>
        </w:rPr>
        <w:t>.</w:t>
      </w:r>
    </w:p>
    <w:p w14:paraId="4B22D45E" w14:textId="36F2AFA3" w:rsidR="007C2D40" w:rsidRPr="008F0A0C" w:rsidRDefault="007C2D40" w:rsidP="008D486E">
      <w:pPr>
        <w:pStyle w:val="Listi"/>
        <w:spacing w:after="60"/>
        <w:ind w:left="1560" w:hanging="426"/>
        <w:rPr>
          <w:rFonts w:ascii="Arial" w:hAnsi="Arial" w:cs="Arial"/>
        </w:rPr>
      </w:pPr>
      <w:r w:rsidRPr="000A1CD2">
        <w:rPr>
          <w:rFonts w:ascii="Arial" w:hAnsi="Arial" w:cs="Arial"/>
        </w:rPr>
        <w:t>(ii)</w:t>
      </w:r>
      <w:r w:rsidRPr="000A1CD2">
        <w:rPr>
          <w:rFonts w:ascii="Arial" w:hAnsi="Arial" w:cs="Arial"/>
        </w:rPr>
        <w:tab/>
      </w:r>
      <w:r w:rsidR="008F0A0C" w:rsidRPr="008F0A0C">
        <w:rPr>
          <w:rFonts w:ascii="Arial" w:hAnsi="Arial" w:cs="Arial"/>
        </w:rPr>
        <w:t>T</w:t>
      </w:r>
      <w:r w:rsidRPr="008F0A0C">
        <w:rPr>
          <w:rFonts w:ascii="Arial" w:hAnsi="Arial" w:cs="Arial"/>
        </w:rPr>
        <w:t>he identity is a living identity and is used in the community by verifying an original secondary identity document (as listed in Part 2 of the Schedule of the Vulnerable Children (Requirements for Safety Checks of Children’s Workers) Regulations 2015)</w:t>
      </w:r>
      <w:r w:rsidR="000A03CC">
        <w:rPr>
          <w:rFonts w:ascii="Arial" w:hAnsi="Arial" w:cs="Arial"/>
        </w:rPr>
        <w:t>.</w:t>
      </w:r>
    </w:p>
    <w:p w14:paraId="1239F617" w14:textId="5ECE54AE" w:rsidR="007C2D40" w:rsidRPr="000A1CD2" w:rsidRDefault="007C2D40" w:rsidP="008D486E">
      <w:pPr>
        <w:pStyle w:val="Listi"/>
        <w:spacing w:after="60"/>
        <w:ind w:left="1560" w:hanging="426"/>
        <w:rPr>
          <w:rFonts w:ascii="Arial" w:hAnsi="Arial" w:cs="Arial"/>
        </w:rPr>
      </w:pPr>
      <w:r w:rsidRPr="000A1CD2">
        <w:rPr>
          <w:rFonts w:ascii="Arial" w:hAnsi="Arial" w:cs="Arial"/>
        </w:rPr>
        <w:t>(iii)</w:t>
      </w:r>
      <w:r w:rsidR="008F0A0C">
        <w:rPr>
          <w:rFonts w:ascii="Arial" w:hAnsi="Arial" w:cs="Arial"/>
        </w:rPr>
        <w:tab/>
        <w:t>T</w:t>
      </w:r>
      <w:r w:rsidRPr="000A1CD2">
        <w:rPr>
          <w:rFonts w:ascii="Arial" w:hAnsi="Arial" w:cs="Arial"/>
        </w:rPr>
        <w:t>he identity is linked to the presenter</w:t>
      </w:r>
      <w:r w:rsidR="000A03CC">
        <w:rPr>
          <w:rFonts w:ascii="Arial" w:hAnsi="Arial" w:cs="Arial"/>
        </w:rPr>
        <w:t>.</w:t>
      </w:r>
    </w:p>
    <w:p w14:paraId="54A27EF6" w14:textId="5726FDAF" w:rsidR="007C2D40" w:rsidRPr="000A1CD2" w:rsidRDefault="007C2D40" w:rsidP="008D486E">
      <w:pPr>
        <w:pStyle w:val="Listi"/>
        <w:spacing w:after="120"/>
        <w:ind w:left="1560" w:hanging="426"/>
        <w:rPr>
          <w:rFonts w:ascii="Arial" w:hAnsi="Arial" w:cs="Arial"/>
        </w:rPr>
      </w:pPr>
      <w:r w:rsidRPr="000A1CD2">
        <w:rPr>
          <w:rFonts w:ascii="Arial" w:hAnsi="Arial" w:cs="Arial"/>
        </w:rPr>
        <w:t>(iv)</w:t>
      </w:r>
      <w:r w:rsidR="007A7254">
        <w:rPr>
          <w:rFonts w:ascii="Arial" w:hAnsi="Arial" w:cs="Arial"/>
        </w:rPr>
        <w:tab/>
        <w:t>T</w:t>
      </w:r>
      <w:r w:rsidRPr="000A1CD2">
        <w:rPr>
          <w:rFonts w:ascii="Arial" w:hAnsi="Arial" w:cs="Arial"/>
        </w:rPr>
        <w:t>he uniqueness of the identity by searching personnel records.</w:t>
      </w:r>
    </w:p>
    <w:p w14:paraId="78ED7C74" w14:textId="607DB70C" w:rsidR="007C2D40" w:rsidRPr="000A1CD2" w:rsidRDefault="007C2D40" w:rsidP="008D486E">
      <w:pPr>
        <w:pStyle w:val="List1"/>
        <w:numPr>
          <w:ilvl w:val="0"/>
          <w:numId w:val="25"/>
        </w:numPr>
        <w:ind w:left="567" w:hanging="567"/>
        <w:rPr>
          <w:rFonts w:ascii="Arial" w:hAnsi="Arial" w:cs="Arial"/>
        </w:rPr>
      </w:pPr>
      <w:r w:rsidRPr="000A1CD2">
        <w:rPr>
          <w:rStyle w:val="Bold"/>
          <w:rFonts w:ascii="Arial" w:hAnsi="Arial" w:cs="Arial"/>
        </w:rPr>
        <w:lastRenderedPageBreak/>
        <w:t>An interview</w:t>
      </w:r>
      <w:r w:rsidRPr="000A1CD2">
        <w:rPr>
          <w:rStyle w:val="Nolinkinresources"/>
          <w:rFonts w:ascii="Arial" w:hAnsi="Arial" w:cs="Arial"/>
        </w:rPr>
        <w:t>,</w:t>
      </w:r>
      <w:r w:rsidRPr="000A1CD2">
        <w:rPr>
          <w:rFonts w:ascii="Arial" w:hAnsi="Arial" w:cs="Arial"/>
        </w:rPr>
        <w:t xml:space="preserve"> which should be face-to-face, but may be via telephone or other communications technology. </w:t>
      </w:r>
      <w:r w:rsidR="00E644CB">
        <w:rPr>
          <w:rFonts w:ascii="Arial" w:hAnsi="Arial" w:cs="Arial"/>
        </w:rPr>
        <w:t>C</w:t>
      </w:r>
      <w:r w:rsidRPr="000A1CD2">
        <w:rPr>
          <w:rFonts w:ascii="Arial" w:hAnsi="Arial" w:cs="Arial"/>
        </w:rPr>
        <w:t xml:space="preserve">onsider whether to conduct two interviews (to enable follow-up and clarification) and whether to have a small panel of interviewers. Interviewers should be chosen for their experience, knowledge and skill, with at least one having broad child protection knowledge. In addition to role-related questions, the interview </w:t>
      </w:r>
      <w:r w:rsidR="00E644CB">
        <w:rPr>
          <w:rFonts w:ascii="Arial" w:hAnsi="Arial" w:cs="Arial"/>
        </w:rPr>
        <w:t>c</w:t>
      </w:r>
      <w:r w:rsidRPr="000A1CD2">
        <w:rPr>
          <w:rFonts w:ascii="Arial" w:hAnsi="Arial" w:cs="Arial"/>
        </w:rPr>
        <w:t xml:space="preserve">ould explore the </w:t>
      </w:r>
      <w:r w:rsidR="00E644CB">
        <w:rPr>
          <w:rFonts w:ascii="Arial" w:hAnsi="Arial" w:cs="Arial"/>
        </w:rPr>
        <w:t xml:space="preserve">new staff members </w:t>
      </w:r>
      <w:r w:rsidRPr="000A1CD2">
        <w:rPr>
          <w:rFonts w:ascii="Arial" w:hAnsi="Arial" w:cs="Arial"/>
        </w:rPr>
        <w:t>view on safe practice.</w:t>
      </w:r>
    </w:p>
    <w:p w14:paraId="49CC6D38" w14:textId="73C43AC0" w:rsidR="007C2D40" w:rsidRPr="000A1CD2" w:rsidRDefault="00E644CB" w:rsidP="008D486E">
      <w:pPr>
        <w:pStyle w:val="BodyText"/>
        <w:spacing w:after="60"/>
        <w:ind w:firstLine="567"/>
        <w:rPr>
          <w:i/>
          <w:iCs/>
        </w:rPr>
      </w:pPr>
      <w:r>
        <w:t xml:space="preserve">It is recommended </w:t>
      </w:r>
      <w:r w:rsidR="007C2D40" w:rsidRPr="000A1CD2">
        <w:t>that questioning elicit information such as:</w:t>
      </w:r>
    </w:p>
    <w:p w14:paraId="4286D995" w14:textId="1BDBD78E" w:rsidR="007C2D40" w:rsidRPr="000A1CD2" w:rsidRDefault="000A03CC" w:rsidP="008D486E">
      <w:pPr>
        <w:pStyle w:val="Bullets-LAST"/>
        <w:numPr>
          <w:ilvl w:val="0"/>
          <w:numId w:val="10"/>
        </w:numPr>
        <w:spacing w:after="60"/>
        <w:ind w:left="1134" w:hanging="567"/>
        <w:rPr>
          <w:rFonts w:ascii="Arial" w:hAnsi="Arial" w:cs="Arial"/>
        </w:rPr>
      </w:pPr>
      <w:r>
        <w:rPr>
          <w:rFonts w:ascii="Arial" w:hAnsi="Arial" w:cs="Arial"/>
        </w:rPr>
        <w:t>W</w:t>
      </w:r>
      <w:r w:rsidR="007C2D40" w:rsidRPr="000A1CD2">
        <w:rPr>
          <w:rFonts w:ascii="Arial" w:hAnsi="Arial" w:cs="Arial"/>
        </w:rPr>
        <w:t>hether complaints have been made about the worker’s professional practice</w:t>
      </w:r>
      <w:r w:rsidR="00A10F35">
        <w:rPr>
          <w:rFonts w:ascii="Arial" w:hAnsi="Arial" w:cs="Arial"/>
        </w:rPr>
        <w:t>.</w:t>
      </w:r>
      <w:r w:rsidR="007C2D40" w:rsidRPr="000A1CD2">
        <w:rPr>
          <w:rFonts w:ascii="Arial" w:hAnsi="Arial" w:cs="Arial"/>
        </w:rPr>
        <w:t xml:space="preserve"> </w:t>
      </w:r>
    </w:p>
    <w:p w14:paraId="4A55F39B" w14:textId="3733DA1D" w:rsidR="007C2D40" w:rsidRPr="000A1CD2" w:rsidRDefault="00A10F35" w:rsidP="008D486E">
      <w:pPr>
        <w:pStyle w:val="Bullets-LAST"/>
        <w:numPr>
          <w:ilvl w:val="0"/>
          <w:numId w:val="10"/>
        </w:numPr>
        <w:spacing w:after="60"/>
        <w:ind w:left="1134" w:hanging="567"/>
        <w:rPr>
          <w:rFonts w:ascii="Arial" w:hAnsi="Arial" w:cs="Arial"/>
        </w:rPr>
      </w:pPr>
      <w:r>
        <w:rPr>
          <w:rFonts w:ascii="Arial" w:hAnsi="Arial" w:cs="Arial"/>
        </w:rPr>
        <w:t>W</w:t>
      </w:r>
      <w:r w:rsidR="007C2D40" w:rsidRPr="000A1CD2">
        <w:rPr>
          <w:rFonts w:ascii="Arial" w:hAnsi="Arial" w:cs="Arial"/>
        </w:rPr>
        <w:t>hether they have been convicted of an offence, and reasons for leaving previous employment</w:t>
      </w:r>
      <w:r>
        <w:rPr>
          <w:rFonts w:ascii="Arial" w:hAnsi="Arial" w:cs="Arial"/>
        </w:rPr>
        <w:t>.</w:t>
      </w:r>
    </w:p>
    <w:p w14:paraId="5E6F7047" w14:textId="3FEDB0E6" w:rsidR="007C2D40" w:rsidRPr="000A1CD2" w:rsidRDefault="00A10F35" w:rsidP="008D486E">
      <w:pPr>
        <w:pStyle w:val="Bullets-LAST"/>
        <w:numPr>
          <w:ilvl w:val="0"/>
          <w:numId w:val="10"/>
        </w:numPr>
        <w:spacing w:after="60"/>
        <w:ind w:left="1134" w:hanging="567"/>
        <w:rPr>
          <w:rFonts w:ascii="Arial" w:hAnsi="Arial" w:cs="Arial"/>
        </w:rPr>
      </w:pPr>
      <w:r>
        <w:rPr>
          <w:rFonts w:ascii="Arial" w:hAnsi="Arial" w:cs="Arial"/>
        </w:rPr>
        <w:t>H</w:t>
      </w:r>
      <w:r w:rsidR="007C2D40" w:rsidRPr="000A1CD2">
        <w:rPr>
          <w:rFonts w:ascii="Arial" w:hAnsi="Arial" w:cs="Arial"/>
        </w:rPr>
        <w:t>ow they have dealt with a situation (or what they would do if such a situation arose) where a child or young person disclosed abuse</w:t>
      </w:r>
      <w:r>
        <w:rPr>
          <w:rFonts w:ascii="Arial" w:hAnsi="Arial" w:cs="Arial"/>
        </w:rPr>
        <w:t>.</w:t>
      </w:r>
    </w:p>
    <w:p w14:paraId="74332E01" w14:textId="7B077235" w:rsidR="007C2D40" w:rsidRPr="000A1CD2" w:rsidRDefault="00A10F35" w:rsidP="008D486E">
      <w:pPr>
        <w:pStyle w:val="Bullets-LAST"/>
        <w:numPr>
          <w:ilvl w:val="0"/>
          <w:numId w:val="10"/>
        </w:numPr>
        <w:spacing w:after="60"/>
        <w:ind w:left="1134" w:hanging="567"/>
        <w:rPr>
          <w:rFonts w:ascii="Arial" w:hAnsi="Arial" w:cs="Arial"/>
        </w:rPr>
      </w:pPr>
      <w:r>
        <w:rPr>
          <w:rFonts w:ascii="Arial" w:hAnsi="Arial" w:cs="Arial"/>
        </w:rPr>
        <w:t>W</w:t>
      </w:r>
      <w:r w:rsidR="007C2D40" w:rsidRPr="000A1CD2">
        <w:rPr>
          <w:rFonts w:ascii="Arial" w:hAnsi="Arial" w:cs="Arial"/>
        </w:rPr>
        <w:t>hat they think constitutes professional practice when working with children</w:t>
      </w:r>
      <w:r>
        <w:rPr>
          <w:rFonts w:ascii="Arial" w:hAnsi="Arial" w:cs="Arial"/>
        </w:rPr>
        <w:t>.</w:t>
      </w:r>
    </w:p>
    <w:p w14:paraId="6A78D0E0" w14:textId="3514D725" w:rsidR="007C2D40" w:rsidRPr="000A1CD2" w:rsidRDefault="00A10F35" w:rsidP="008D486E">
      <w:pPr>
        <w:pStyle w:val="Bullets-LAST"/>
        <w:numPr>
          <w:ilvl w:val="0"/>
          <w:numId w:val="10"/>
        </w:numPr>
        <w:spacing w:after="60"/>
        <w:ind w:left="1134" w:hanging="567"/>
        <w:rPr>
          <w:rFonts w:ascii="Arial" w:hAnsi="Arial" w:cs="Arial"/>
        </w:rPr>
      </w:pPr>
      <w:r>
        <w:rPr>
          <w:rFonts w:ascii="Arial" w:hAnsi="Arial" w:cs="Arial"/>
        </w:rPr>
        <w:t>O</w:t>
      </w:r>
      <w:r w:rsidR="007C2D40" w:rsidRPr="000A1CD2">
        <w:rPr>
          <w:rFonts w:ascii="Arial" w:hAnsi="Arial" w:cs="Arial"/>
        </w:rPr>
        <w:t>ther relationships they have with children outside the working environment</w:t>
      </w:r>
      <w:r>
        <w:rPr>
          <w:rFonts w:ascii="Arial" w:hAnsi="Arial" w:cs="Arial"/>
        </w:rPr>
        <w:t>.</w:t>
      </w:r>
    </w:p>
    <w:p w14:paraId="37F20C99" w14:textId="259CB32A" w:rsidR="007C2D40" w:rsidRPr="000A1CD2" w:rsidRDefault="00A10F35" w:rsidP="008D486E">
      <w:pPr>
        <w:pStyle w:val="Bullets-LAST"/>
        <w:numPr>
          <w:ilvl w:val="0"/>
          <w:numId w:val="10"/>
        </w:numPr>
        <w:spacing w:after="120"/>
        <w:ind w:left="1134" w:hanging="567"/>
        <w:rPr>
          <w:rFonts w:ascii="Arial" w:hAnsi="Arial" w:cs="Arial"/>
        </w:rPr>
      </w:pPr>
      <w:r>
        <w:rPr>
          <w:rFonts w:ascii="Arial" w:hAnsi="Arial" w:cs="Arial"/>
        </w:rPr>
        <w:t>T</w:t>
      </w:r>
      <w:r w:rsidR="007C2D40" w:rsidRPr="000A1CD2">
        <w:rPr>
          <w:rFonts w:ascii="Arial" w:hAnsi="Arial" w:cs="Arial"/>
        </w:rPr>
        <w:t>he kind of relationships they hope to develop with children and families in the new role.</w:t>
      </w:r>
    </w:p>
    <w:p w14:paraId="5BDA20A6" w14:textId="75239515" w:rsidR="007C2D40" w:rsidRPr="000A1CD2" w:rsidRDefault="007C2D40" w:rsidP="008D486E">
      <w:pPr>
        <w:pStyle w:val="List1"/>
        <w:numPr>
          <w:ilvl w:val="0"/>
          <w:numId w:val="25"/>
        </w:numPr>
        <w:spacing w:after="120"/>
        <w:ind w:left="567" w:hanging="567"/>
        <w:rPr>
          <w:rFonts w:ascii="Arial" w:hAnsi="Arial" w:cs="Arial"/>
        </w:rPr>
      </w:pPr>
      <w:r w:rsidRPr="000A1CD2">
        <w:rPr>
          <w:rStyle w:val="Bold"/>
          <w:rFonts w:ascii="Arial" w:hAnsi="Arial" w:cs="Arial"/>
        </w:rPr>
        <w:t>Work history:</w:t>
      </w:r>
      <w:r w:rsidRPr="000A1CD2">
        <w:rPr>
          <w:rFonts w:ascii="Arial" w:hAnsi="Arial" w:cs="Arial"/>
        </w:rPr>
        <w:t xml:space="preserve"> consider the previous five years</w:t>
      </w:r>
      <w:r w:rsidR="00B721A4">
        <w:rPr>
          <w:rFonts w:ascii="Arial" w:hAnsi="Arial" w:cs="Arial"/>
        </w:rPr>
        <w:t xml:space="preserve"> at least</w:t>
      </w:r>
      <w:r w:rsidRPr="000A1CD2">
        <w:rPr>
          <w:rFonts w:ascii="Arial" w:hAnsi="Arial" w:cs="Arial"/>
        </w:rPr>
        <w:t>.</w:t>
      </w:r>
    </w:p>
    <w:p w14:paraId="5A235CB1" w14:textId="55B41CD0" w:rsidR="007C2D40" w:rsidRPr="000A1CD2" w:rsidRDefault="007C2D40" w:rsidP="008D486E">
      <w:pPr>
        <w:pStyle w:val="List1"/>
        <w:numPr>
          <w:ilvl w:val="0"/>
          <w:numId w:val="25"/>
        </w:numPr>
        <w:ind w:left="567" w:hanging="567"/>
        <w:rPr>
          <w:rFonts w:ascii="Arial" w:hAnsi="Arial" w:cs="Arial"/>
        </w:rPr>
      </w:pPr>
      <w:r w:rsidRPr="000A1CD2">
        <w:rPr>
          <w:rStyle w:val="Bold"/>
          <w:rFonts w:ascii="Arial" w:hAnsi="Arial" w:cs="Arial"/>
        </w:rPr>
        <w:t>At least one referee:</w:t>
      </w:r>
      <w:r w:rsidRPr="000A1CD2">
        <w:rPr>
          <w:rFonts w:ascii="Arial" w:hAnsi="Arial" w:cs="Arial"/>
        </w:rPr>
        <w:t xml:space="preserve"> consider the information from </w:t>
      </w:r>
      <w:r w:rsidR="00B721A4">
        <w:rPr>
          <w:rFonts w:ascii="Arial" w:hAnsi="Arial" w:cs="Arial"/>
        </w:rPr>
        <w:t xml:space="preserve">more than one </w:t>
      </w:r>
      <w:r w:rsidRPr="000A1CD2">
        <w:rPr>
          <w:rFonts w:ascii="Arial" w:hAnsi="Arial" w:cs="Arial"/>
        </w:rPr>
        <w:t xml:space="preserve">referee where possible, which includes information on how the potential </w:t>
      </w:r>
      <w:r w:rsidR="00B721A4">
        <w:rPr>
          <w:rFonts w:ascii="Arial" w:hAnsi="Arial" w:cs="Arial"/>
        </w:rPr>
        <w:t xml:space="preserve">staff member </w:t>
      </w:r>
      <w:r w:rsidRPr="000A1CD2">
        <w:rPr>
          <w:rFonts w:ascii="Arial" w:hAnsi="Arial" w:cs="Arial"/>
        </w:rPr>
        <w:t>relates to children. Referees must not be related or be part of the individual’s extended family.</w:t>
      </w:r>
    </w:p>
    <w:p w14:paraId="19A7CAB8" w14:textId="77777777" w:rsidR="007C2D40" w:rsidRPr="000A1CD2" w:rsidRDefault="007C2D40" w:rsidP="008D486E">
      <w:pPr>
        <w:pStyle w:val="List1"/>
        <w:numPr>
          <w:ilvl w:val="0"/>
          <w:numId w:val="25"/>
        </w:numPr>
        <w:spacing w:after="120"/>
        <w:ind w:left="567" w:hanging="567"/>
        <w:rPr>
          <w:rFonts w:ascii="Arial" w:hAnsi="Arial" w:cs="Arial"/>
        </w:rPr>
      </w:pPr>
      <w:r w:rsidRPr="000A1CD2">
        <w:rPr>
          <w:rStyle w:val="Bold"/>
          <w:rFonts w:ascii="Arial" w:hAnsi="Arial" w:cs="Arial"/>
        </w:rPr>
        <w:t>Seek information:</w:t>
      </w:r>
      <w:r w:rsidRPr="000A1CD2">
        <w:rPr>
          <w:rFonts w:ascii="Arial" w:hAnsi="Arial" w:cs="Arial"/>
        </w:rPr>
        <w:t xml:space="preserve"> from any relevant professional organisation, licensing authority or registration authority, and confirmation that the person is a member of the organisation or registered by the authority.</w:t>
      </w:r>
    </w:p>
    <w:p w14:paraId="5518B535" w14:textId="27A06524" w:rsidR="007C2D40" w:rsidRPr="000A1CD2" w:rsidRDefault="007C2D40" w:rsidP="008D486E">
      <w:pPr>
        <w:pStyle w:val="List1"/>
        <w:numPr>
          <w:ilvl w:val="0"/>
          <w:numId w:val="25"/>
        </w:numPr>
        <w:spacing w:after="120"/>
        <w:ind w:left="567" w:hanging="567"/>
        <w:rPr>
          <w:rFonts w:ascii="Arial" w:hAnsi="Arial" w:cs="Arial"/>
        </w:rPr>
      </w:pPr>
      <w:r w:rsidRPr="000A1CD2">
        <w:rPr>
          <w:rStyle w:val="Bold"/>
          <w:rFonts w:ascii="Arial" w:hAnsi="Arial" w:cs="Arial"/>
        </w:rPr>
        <w:t>New Zealand Police vet</w:t>
      </w:r>
      <w:r w:rsidRPr="000A1CD2">
        <w:rPr>
          <w:rFonts w:ascii="Arial" w:hAnsi="Arial" w:cs="Arial"/>
        </w:rPr>
        <w:t>. To use the Police Vetting Service, agencies or individuals need to meet the required criteria and obtain approval from the New Zealand Police.</w:t>
      </w:r>
      <w:r w:rsidR="001522A4">
        <w:rPr>
          <w:rFonts w:ascii="Arial" w:hAnsi="Arial" w:cs="Arial"/>
        </w:rPr>
        <w:t xml:space="preserve"> </w:t>
      </w:r>
      <w:r w:rsidR="001522A4" w:rsidRPr="001522A4">
        <w:rPr>
          <w:rFonts w:ascii="Arial" w:hAnsi="Arial" w:cs="Arial"/>
        </w:rPr>
        <w:t>Ministry of Justice records are not acceptable as evidence</w:t>
      </w:r>
      <w:r w:rsidR="001522A4">
        <w:rPr>
          <w:rFonts w:ascii="Arial" w:hAnsi="Arial" w:cs="Arial"/>
        </w:rPr>
        <w:t>.</w:t>
      </w:r>
    </w:p>
    <w:p w14:paraId="2FEC8D38" w14:textId="1CD40CC3" w:rsidR="007C2D40" w:rsidRPr="000A1CD2" w:rsidRDefault="007C2D40" w:rsidP="008D486E">
      <w:pPr>
        <w:pStyle w:val="List1"/>
        <w:numPr>
          <w:ilvl w:val="0"/>
          <w:numId w:val="25"/>
        </w:numPr>
        <w:spacing w:after="120"/>
        <w:ind w:left="567" w:hanging="567"/>
        <w:rPr>
          <w:rFonts w:ascii="Arial" w:hAnsi="Arial" w:cs="Arial"/>
        </w:rPr>
      </w:pPr>
      <w:r w:rsidRPr="000A1CD2">
        <w:rPr>
          <w:rStyle w:val="Bold"/>
          <w:rFonts w:ascii="Arial" w:hAnsi="Arial" w:cs="Arial"/>
        </w:rPr>
        <w:t>Assessment of the risk</w:t>
      </w:r>
      <w:r w:rsidRPr="000A1CD2">
        <w:rPr>
          <w:rFonts w:ascii="Arial" w:hAnsi="Arial" w:cs="Arial"/>
        </w:rPr>
        <w:t xml:space="preserve"> the potential </w:t>
      </w:r>
      <w:r w:rsidR="00554DF9">
        <w:rPr>
          <w:rFonts w:ascii="Arial" w:hAnsi="Arial" w:cs="Arial"/>
        </w:rPr>
        <w:t>staff member</w:t>
      </w:r>
      <w:r w:rsidRPr="000A1CD2">
        <w:rPr>
          <w:rFonts w:ascii="Arial" w:hAnsi="Arial" w:cs="Arial"/>
        </w:rPr>
        <w:t xml:space="preserve"> would pose to the safety of children if employed or engaged by evaluating the above information.</w:t>
      </w:r>
    </w:p>
    <w:p w14:paraId="20F26474" w14:textId="77777777" w:rsidR="007C2D40" w:rsidRPr="00696711" w:rsidRDefault="007C2D40" w:rsidP="00696711">
      <w:pPr>
        <w:spacing w:before="240" w:after="120"/>
        <w:rPr>
          <w:i/>
          <w:color w:val="auto"/>
          <w:sz w:val="24"/>
        </w:rPr>
      </w:pPr>
      <w:r w:rsidRPr="00696711">
        <w:rPr>
          <w:i/>
          <w:color w:val="auto"/>
          <w:sz w:val="24"/>
        </w:rPr>
        <w:t>Risk assessment</w:t>
      </w:r>
    </w:p>
    <w:p w14:paraId="0E047815" w14:textId="226AAA8B" w:rsidR="007C2D40" w:rsidRDefault="007C2D40" w:rsidP="007C2D40">
      <w:pPr>
        <w:pStyle w:val="BodyText"/>
      </w:pPr>
      <w:r>
        <w:t xml:space="preserve">It is important to follow the correct process, including the completion of a risk assessment of the potential </w:t>
      </w:r>
      <w:r w:rsidR="00A117E0">
        <w:t>staff member</w:t>
      </w:r>
      <w:r>
        <w:t>, and to keep accurate records. All relevant information gathered during the safety checking process must be considered to inform the final decision.</w:t>
      </w:r>
    </w:p>
    <w:p w14:paraId="5C7F6B1C" w14:textId="1DC705C5" w:rsidR="007C2D40" w:rsidRDefault="00856407" w:rsidP="007C2D40">
      <w:pPr>
        <w:pStyle w:val="BodyText"/>
      </w:pPr>
      <w:r>
        <w:t>Decision</w:t>
      </w:r>
      <w:r w:rsidR="007C2D40">
        <w:t xml:space="preserve"> making</w:t>
      </w:r>
      <w:r w:rsidR="00A117E0">
        <w:t xml:space="preserve"> needs</w:t>
      </w:r>
      <w:r w:rsidR="007C2D40">
        <w:t xml:space="preserve"> to be reasoned, based on evidence, and to put the child at the centre. Principles to follow include:</w:t>
      </w:r>
    </w:p>
    <w:p w14:paraId="1F3CF4D4" w14:textId="77777777" w:rsidR="007C2D40" w:rsidRPr="000A1CD2" w:rsidRDefault="007C2D40" w:rsidP="008D486E">
      <w:pPr>
        <w:pStyle w:val="Bullets"/>
        <w:ind w:left="567" w:hanging="567"/>
        <w:rPr>
          <w:rFonts w:ascii="Arial" w:hAnsi="Arial" w:cs="Arial"/>
        </w:rPr>
      </w:pPr>
      <w:r w:rsidRPr="000A1CD2">
        <w:rPr>
          <w:rFonts w:ascii="Arial" w:hAnsi="Arial" w:cs="Arial"/>
        </w:rPr>
        <w:t>Use professional judgement to identify patterns of concerning attitudes or behaviours. People conducting safety checks should consider the information holistically.</w:t>
      </w:r>
    </w:p>
    <w:p w14:paraId="008932D3" w14:textId="77777777" w:rsidR="007C2D40" w:rsidRPr="000A1CD2" w:rsidRDefault="007C2D40" w:rsidP="008D486E">
      <w:pPr>
        <w:pStyle w:val="Bullets"/>
        <w:ind w:left="567" w:hanging="567"/>
        <w:rPr>
          <w:rFonts w:ascii="Arial" w:hAnsi="Arial" w:cs="Arial"/>
        </w:rPr>
      </w:pPr>
      <w:r w:rsidRPr="000A1CD2">
        <w:rPr>
          <w:rFonts w:ascii="Arial" w:hAnsi="Arial" w:cs="Arial"/>
        </w:rPr>
        <w:t>Always consider indicators in context. Give people the opportunity to respond to concerns about their suitability.</w:t>
      </w:r>
    </w:p>
    <w:p w14:paraId="2A6F78E8" w14:textId="77777777" w:rsidR="007C2D40" w:rsidRPr="000A1CD2" w:rsidRDefault="007C2D40" w:rsidP="008D486E">
      <w:pPr>
        <w:pStyle w:val="Bullets"/>
        <w:ind w:left="567" w:hanging="567"/>
        <w:rPr>
          <w:rFonts w:ascii="Arial" w:hAnsi="Arial" w:cs="Arial"/>
        </w:rPr>
      </w:pPr>
      <w:r w:rsidRPr="000A1CD2">
        <w:rPr>
          <w:rFonts w:ascii="Arial" w:hAnsi="Arial" w:cs="Arial"/>
        </w:rPr>
        <w:t>Follow up on potential indicators (e.g. by asking for evidence).</w:t>
      </w:r>
    </w:p>
    <w:p w14:paraId="117E353A" w14:textId="7E58A7D9" w:rsidR="007C2D40" w:rsidRDefault="007C2D40" w:rsidP="007C2D40">
      <w:pPr>
        <w:pStyle w:val="BodyText"/>
      </w:pPr>
      <w:r>
        <w:t xml:space="preserve">Moreover, safety checking must always be done in accordance with existing legal protections such as the Privacy Act 1993 and the Human Rights Act 1993. The final decision may be based on a range of factors, and ultimately the decision maker should be satisfied that the </w:t>
      </w:r>
      <w:r w:rsidR="00A117E0">
        <w:t xml:space="preserve">staff member </w:t>
      </w:r>
      <w:r>
        <w:t xml:space="preserve">poses no undue risk to the safety of children if employed or engaged. Decision makers should also consider whether they need to seek outside expert advice and further referees, and to raise any issues with the </w:t>
      </w:r>
      <w:r w:rsidR="00972539">
        <w:t>staff member</w:t>
      </w:r>
      <w:r>
        <w:t>.</w:t>
      </w:r>
    </w:p>
    <w:p w14:paraId="126F33AD" w14:textId="7FAA0FB8" w:rsidR="007C2D40" w:rsidRDefault="007C2D40" w:rsidP="007C2D40">
      <w:pPr>
        <w:pStyle w:val="BodyText"/>
      </w:pPr>
      <w:r>
        <w:rPr>
          <w:rStyle w:val="Bold"/>
        </w:rPr>
        <w:t xml:space="preserve">Periodic rechecking every three years </w:t>
      </w:r>
      <w:r w:rsidR="00972539">
        <w:rPr>
          <w:rStyle w:val="Bold"/>
        </w:rPr>
        <w:t>is required and should cover</w:t>
      </w:r>
      <w:r>
        <w:rPr>
          <w:rStyle w:val="Bold"/>
        </w:rPr>
        <w:t>:</w:t>
      </w:r>
      <w:r>
        <w:t xml:space="preserve"> confirmation of any changes of an officially recorded name, updating the checks with the relevant professional </w:t>
      </w:r>
      <w:r>
        <w:lastRenderedPageBreak/>
        <w:t>registration body or licensing authority, a fresh New Zealand Police vet, and a risk assessment based on these checks.</w:t>
      </w:r>
    </w:p>
    <w:p w14:paraId="4F1E3DFD" w14:textId="77777777" w:rsidR="007C2D40" w:rsidRPr="002612A6" w:rsidRDefault="007C2D40" w:rsidP="002612A6">
      <w:pPr>
        <w:spacing w:before="240" w:after="120"/>
        <w:rPr>
          <w:i/>
          <w:color w:val="auto"/>
          <w:sz w:val="24"/>
        </w:rPr>
      </w:pPr>
      <w:r w:rsidRPr="002612A6">
        <w:rPr>
          <w:i/>
          <w:color w:val="auto"/>
          <w:sz w:val="24"/>
        </w:rPr>
        <w:t>Relying on previous checks or checks done by others</w:t>
      </w:r>
    </w:p>
    <w:p w14:paraId="563CF5B4" w14:textId="77777777" w:rsidR="007C2D40" w:rsidRDefault="007C2D40" w:rsidP="007C2D40">
      <w:pPr>
        <w:pStyle w:val="BodyText"/>
      </w:pPr>
      <w:r>
        <w:t>Organisations may rely on checks that meet the standard (i.e. have met or exceeded all of the regulatory requirements) that they conducted up to three years previously (for previous employees or contractors starting in a new role/contract), and on checks done by individuals or organisations on behalf of the specified organisation.</w:t>
      </w:r>
    </w:p>
    <w:p w14:paraId="7BAAD400" w14:textId="6E0068E7" w:rsidR="007C2D40" w:rsidRDefault="00972539" w:rsidP="007C2D40">
      <w:pPr>
        <w:pStyle w:val="BodyText"/>
      </w:pPr>
      <w:r>
        <w:t xml:space="preserve">It is recommended </w:t>
      </w:r>
      <w:r w:rsidR="007C2D40">
        <w:t>that:</w:t>
      </w:r>
    </w:p>
    <w:p w14:paraId="63940D7E" w14:textId="6A08C7C0" w:rsidR="007C2D40" w:rsidRPr="007D76E0" w:rsidRDefault="00631A5F" w:rsidP="008D486E">
      <w:pPr>
        <w:pStyle w:val="Bullets"/>
        <w:ind w:left="567" w:hanging="567"/>
        <w:rPr>
          <w:rFonts w:ascii="Arial" w:hAnsi="Arial" w:cs="Arial"/>
        </w:rPr>
      </w:pPr>
      <w:r>
        <w:rPr>
          <w:rFonts w:ascii="Arial" w:hAnsi="Arial" w:cs="Arial"/>
        </w:rPr>
        <w:t>I</w:t>
      </w:r>
      <w:r w:rsidR="007C2D40" w:rsidRPr="007D76E0">
        <w:rPr>
          <w:rFonts w:ascii="Arial" w:hAnsi="Arial" w:cs="Arial"/>
        </w:rPr>
        <w:t>t is good practice to recheck previous employees or contractors if there has been a significant period of absence</w:t>
      </w:r>
    </w:p>
    <w:p w14:paraId="41D6809A" w14:textId="1E24C828" w:rsidR="007C2D40" w:rsidRPr="007D76E0" w:rsidRDefault="00631A5F" w:rsidP="008D486E">
      <w:pPr>
        <w:pStyle w:val="Bullets"/>
        <w:ind w:left="567" w:hanging="567"/>
        <w:rPr>
          <w:rFonts w:ascii="Arial" w:hAnsi="Arial" w:cs="Arial"/>
        </w:rPr>
      </w:pPr>
      <w:r>
        <w:rPr>
          <w:rFonts w:ascii="Arial" w:hAnsi="Arial" w:cs="Arial"/>
        </w:rPr>
        <w:t>F</w:t>
      </w:r>
      <w:r w:rsidR="007C2D40" w:rsidRPr="007D76E0">
        <w:rPr>
          <w:rFonts w:ascii="Arial" w:hAnsi="Arial" w:cs="Arial"/>
        </w:rPr>
        <w:t xml:space="preserve">or </w:t>
      </w:r>
      <w:r w:rsidR="00972539">
        <w:rPr>
          <w:rFonts w:ascii="Arial" w:hAnsi="Arial" w:cs="Arial"/>
        </w:rPr>
        <w:t>all w</w:t>
      </w:r>
      <w:r w:rsidR="007C2D40" w:rsidRPr="007D76E0">
        <w:rPr>
          <w:rFonts w:ascii="Arial" w:hAnsi="Arial" w:cs="Arial"/>
        </w:rPr>
        <w:t>orkers, their New Zealand Police vet needs to have been done to the required standard</w:t>
      </w:r>
    </w:p>
    <w:p w14:paraId="5D106803" w14:textId="77777777" w:rsidR="007C2D40" w:rsidRPr="007D76E0" w:rsidRDefault="007C2D40" w:rsidP="008D486E">
      <w:pPr>
        <w:pStyle w:val="Bullets"/>
        <w:ind w:left="567" w:hanging="567"/>
        <w:rPr>
          <w:rFonts w:ascii="Arial" w:hAnsi="Arial" w:cs="Arial"/>
        </w:rPr>
      </w:pPr>
      <w:r w:rsidRPr="007D76E0">
        <w:rPr>
          <w:rFonts w:ascii="Arial" w:hAnsi="Arial" w:cs="Arial"/>
        </w:rPr>
        <w:t>Where relying on a check done by a third party on their behalf, organisations should have a process in place to confirm that the person they are employing or engaging is the person whom the third party has checked. This should include an identity verification process.</w:t>
      </w:r>
    </w:p>
    <w:p w14:paraId="597333A6" w14:textId="77777777" w:rsidR="007C2D40" w:rsidRPr="00972539" w:rsidRDefault="007C2D40" w:rsidP="002E0966">
      <w:pPr>
        <w:pStyle w:val="BodyText"/>
        <w:spacing w:before="120"/>
        <w:rPr>
          <w:b/>
        </w:rPr>
      </w:pPr>
      <w:r w:rsidRPr="00972539">
        <w:rPr>
          <w:b/>
        </w:rPr>
        <w:t>Responsibility for safety checking rests with the employing or contracting organisation, and they should exercise due diligence when relying on checks undertaken by others.</w:t>
      </w:r>
    </w:p>
    <w:p w14:paraId="33914B1C" w14:textId="77777777" w:rsidR="007C2D40" w:rsidRPr="00146547" w:rsidRDefault="007C2D40" w:rsidP="00631A5F">
      <w:pPr>
        <w:rPr>
          <w:color w:val="auto"/>
          <w:sz w:val="22"/>
          <w:szCs w:val="22"/>
        </w:rPr>
      </w:pPr>
      <w:r w:rsidRPr="00146547">
        <w:rPr>
          <w:color w:val="auto"/>
          <w:sz w:val="22"/>
          <w:szCs w:val="22"/>
        </w:rPr>
        <w:t>Safety checking contractors and the self-employed</w:t>
      </w:r>
    </w:p>
    <w:p w14:paraId="67FB48E9" w14:textId="3778C5AA" w:rsidR="007C2D40" w:rsidRDefault="007C2D40" w:rsidP="007C2D40">
      <w:pPr>
        <w:pStyle w:val="BodyText"/>
      </w:pPr>
      <w:r>
        <w:t>The</w:t>
      </w:r>
      <w:r w:rsidR="00A97F3C">
        <w:t xml:space="preserve"> Vulnerable Children Act 2014 </w:t>
      </w:r>
      <w:r>
        <w:t>applies to some, but not all, self-employed persons or sole practitioners. If a self-employed person or sole practitioner is contracted by a State service, then they will need to be safety checked by that State service.</w:t>
      </w:r>
    </w:p>
    <w:p w14:paraId="3F50731A" w14:textId="33DA32BF" w:rsidR="00D13CCD" w:rsidRDefault="007C2D40" w:rsidP="006116B7">
      <w:pPr>
        <w:pStyle w:val="BodyText"/>
        <w:rPr>
          <w:i/>
        </w:rPr>
      </w:pPr>
      <w:r>
        <w:t xml:space="preserve">Similarly, if a self-employed person or sole practitioner is contracted by an organisation or individual that is funded by a State service to provide regulated activities, the funded organisation or individual is required to ensure that a safety check of the practitioner is done. This situation includes self-employed or sole practitioners who have formed separate legal </w:t>
      </w:r>
      <w:r w:rsidR="00C80464">
        <w:t>entities and</w:t>
      </w:r>
      <w:r>
        <w:t xml:space="preserve"> are employed or engaged by them.</w:t>
      </w:r>
    </w:p>
    <w:p w14:paraId="4B8F780F" w14:textId="368FA241" w:rsidR="00D73B9C" w:rsidRPr="002612A6" w:rsidRDefault="00D73B9C" w:rsidP="002612A6">
      <w:pPr>
        <w:spacing w:before="240" w:after="120"/>
        <w:rPr>
          <w:i/>
          <w:color w:val="auto"/>
          <w:sz w:val="24"/>
        </w:rPr>
      </w:pPr>
      <w:r w:rsidRPr="002612A6">
        <w:rPr>
          <w:i/>
          <w:color w:val="auto"/>
          <w:sz w:val="24"/>
        </w:rPr>
        <w:t>Liability insurance</w:t>
      </w:r>
    </w:p>
    <w:p w14:paraId="59FDB57C" w14:textId="0C482FD9" w:rsidR="00D73B9C" w:rsidRDefault="00451469" w:rsidP="00D73B9C">
      <w:pPr>
        <w:pStyle w:val="BodyText"/>
      </w:pPr>
      <w:r>
        <w:t>P</w:t>
      </w:r>
      <w:r w:rsidR="00D73B9C">
        <w:t>rofessional liability insurance</w:t>
      </w:r>
      <w:r w:rsidR="00DC5652">
        <w:t xml:space="preserve"> is not a requirement of the Foundation standard. It is</w:t>
      </w:r>
      <w:r w:rsidR="00C80464">
        <w:t>, however</w:t>
      </w:r>
      <w:r w:rsidR="00DC5652">
        <w:t xml:space="preserve"> </w:t>
      </w:r>
      <w:r w:rsidR="00C80464">
        <w:t>strongly</w:t>
      </w:r>
      <w:r w:rsidR="00DC5652">
        <w:t xml:space="preserve"> </w:t>
      </w:r>
      <w:r w:rsidR="00C80464">
        <w:t>recommended</w:t>
      </w:r>
      <w:r w:rsidR="00DC5652">
        <w:t xml:space="preserve"> by professional associations that </w:t>
      </w:r>
      <w:r w:rsidR="00C80464">
        <w:t>practices</w:t>
      </w:r>
      <w:r w:rsidR="00DC5652">
        <w:t xml:space="preserve"> and clinicians take professional advice on their potential liabilities and insurance options.</w:t>
      </w:r>
    </w:p>
    <w:p w14:paraId="1A1DF3E4" w14:textId="56EE3075" w:rsidR="00CC7D6B" w:rsidRDefault="00CC7D6B" w:rsidP="00CC7D6B">
      <w:pPr>
        <w:spacing w:before="240" w:after="120"/>
        <w:rPr>
          <w:b/>
          <w:color w:val="auto"/>
          <w:sz w:val="22"/>
          <w:szCs w:val="22"/>
        </w:rPr>
      </w:pPr>
      <w:r w:rsidRPr="00A81435">
        <w:rPr>
          <w:b/>
          <w:color w:val="auto"/>
          <w:sz w:val="22"/>
          <w:szCs w:val="22"/>
        </w:rPr>
        <w:t>Resources</w:t>
      </w:r>
    </w:p>
    <w:p w14:paraId="56CF2E61" w14:textId="06C92629" w:rsidR="003F6A61" w:rsidRPr="005E6E21" w:rsidRDefault="005E6E21" w:rsidP="008D486E">
      <w:pPr>
        <w:pStyle w:val="HHLBodyText"/>
        <w:spacing w:after="100"/>
        <w:rPr>
          <w:i/>
        </w:rPr>
      </w:pPr>
      <w:r w:rsidRPr="005E6E21">
        <w:rPr>
          <w:i/>
        </w:rPr>
        <w:t>Vulnerable Children Act resources</w:t>
      </w:r>
    </w:p>
    <w:p w14:paraId="2078C1F7" w14:textId="685CED60" w:rsidR="00580F65" w:rsidRPr="00BF6B8F" w:rsidRDefault="00CF1416" w:rsidP="008D486E">
      <w:pPr>
        <w:pStyle w:val="Resourcelist"/>
        <w:spacing w:after="100"/>
        <w:rPr>
          <w:rStyle w:val="Hyperlink"/>
          <w:rFonts w:ascii="Arial" w:hAnsi="Arial" w:cs="Arial"/>
          <w:color w:val="0000FF"/>
        </w:rPr>
      </w:pPr>
      <w:hyperlink r:id="rId157" w:history="1">
        <w:r w:rsidR="003F6A61" w:rsidRPr="00BF6B8F">
          <w:rPr>
            <w:rStyle w:val="Hyperlink"/>
            <w:rFonts w:ascii="Arial" w:hAnsi="Arial" w:cs="Arial"/>
            <w:color w:val="0000FF"/>
          </w:rPr>
          <w:t>Orangatamariki, Children’s Act Requirements</w:t>
        </w:r>
      </w:hyperlink>
    </w:p>
    <w:p w14:paraId="3FD806E7" w14:textId="39481DD9" w:rsidR="004B7CCA" w:rsidRPr="00BF6B8F" w:rsidRDefault="00CF1416" w:rsidP="008D486E">
      <w:pPr>
        <w:pStyle w:val="Resourcelist"/>
        <w:spacing w:after="100"/>
        <w:rPr>
          <w:rStyle w:val="Hyperlink"/>
          <w:rFonts w:ascii="Arial" w:hAnsi="Arial" w:cs="Arial"/>
          <w:color w:val="0000FF"/>
        </w:rPr>
      </w:pPr>
      <w:hyperlink r:id="rId158" w:history="1">
        <w:r w:rsidR="004B7CCA" w:rsidRPr="00BF6B8F">
          <w:rPr>
            <w:rStyle w:val="Hyperlink"/>
            <w:rFonts w:ascii="Arial" w:hAnsi="Arial" w:cs="Arial"/>
            <w:color w:val="0000FF"/>
          </w:rPr>
          <w:t>Ministry of Health, Children’s Action Plan: Children’s worker safety checking and child protection policies</w:t>
        </w:r>
      </w:hyperlink>
    </w:p>
    <w:p w14:paraId="747163A0" w14:textId="10DF566B" w:rsidR="009F2A4D" w:rsidRPr="009F2A4D" w:rsidRDefault="009F2A4D" w:rsidP="008D486E">
      <w:pPr>
        <w:pStyle w:val="HHLBodyText"/>
        <w:spacing w:before="240" w:after="100"/>
        <w:rPr>
          <w:i/>
        </w:rPr>
      </w:pPr>
      <w:r w:rsidRPr="009F2A4D">
        <w:rPr>
          <w:i/>
        </w:rPr>
        <w:t xml:space="preserve">New </w:t>
      </w:r>
      <w:r w:rsidR="00C80464" w:rsidRPr="009F2A4D">
        <w:rPr>
          <w:i/>
        </w:rPr>
        <w:t>Zealand</w:t>
      </w:r>
      <w:r w:rsidRPr="009F2A4D">
        <w:rPr>
          <w:i/>
        </w:rPr>
        <w:t xml:space="preserve"> Police Vetting </w:t>
      </w:r>
      <w:r w:rsidR="00C80464" w:rsidRPr="009F2A4D">
        <w:rPr>
          <w:i/>
        </w:rPr>
        <w:t>Service</w:t>
      </w:r>
    </w:p>
    <w:p w14:paraId="3D07D707" w14:textId="77777777" w:rsidR="009F2A4D" w:rsidRPr="00BF6B8F" w:rsidRDefault="00CF1416" w:rsidP="008D486E">
      <w:pPr>
        <w:pStyle w:val="Resourcelist"/>
        <w:spacing w:after="100"/>
        <w:rPr>
          <w:rStyle w:val="Hyperlink"/>
          <w:rFonts w:ascii="Arial" w:hAnsi="Arial" w:cs="Arial"/>
          <w:color w:val="0000FF"/>
        </w:rPr>
      </w:pPr>
      <w:hyperlink r:id="rId159" w:history="1"/>
      <w:hyperlink r:id="rId160" w:history="1">
        <w:r w:rsidR="009F2A4D" w:rsidRPr="00BF6B8F">
          <w:rPr>
            <w:rStyle w:val="Hyperlink"/>
            <w:rFonts w:ascii="Arial" w:hAnsi="Arial" w:cs="Arial"/>
            <w:color w:val="0000FF"/>
          </w:rPr>
          <w:t>New Zealand Police, Vetting Service: Purpose statement and agency approval criteria</w:t>
        </w:r>
      </w:hyperlink>
    </w:p>
    <w:p w14:paraId="70D10294" w14:textId="2F1D5556" w:rsidR="009F2A4D" w:rsidRPr="00BF6B8F" w:rsidRDefault="00CF1416" w:rsidP="008D486E">
      <w:pPr>
        <w:pStyle w:val="Resourcelist"/>
        <w:spacing w:after="100"/>
        <w:rPr>
          <w:rStyle w:val="Hyperlink"/>
          <w:rFonts w:ascii="Arial" w:hAnsi="Arial" w:cs="Arial"/>
          <w:color w:val="0000FF"/>
        </w:rPr>
      </w:pPr>
      <w:hyperlink r:id="rId161" w:history="1">
        <w:r w:rsidR="009F2A4D" w:rsidRPr="00BF6B8F">
          <w:rPr>
            <w:rStyle w:val="Hyperlink"/>
            <w:rFonts w:ascii="Arial" w:hAnsi="Arial" w:cs="Arial"/>
            <w:color w:val="0000FF"/>
          </w:rPr>
          <w:t>New Police, Vetting Ser</w:t>
        </w:r>
        <w:r w:rsidR="00C80464" w:rsidRPr="00BF6B8F">
          <w:rPr>
            <w:rStyle w:val="Hyperlink"/>
            <w:rFonts w:ascii="Arial" w:hAnsi="Arial" w:cs="Arial"/>
            <w:color w:val="0000FF"/>
          </w:rPr>
          <w:t>vice</w:t>
        </w:r>
      </w:hyperlink>
    </w:p>
    <w:p w14:paraId="1D5CDC35" w14:textId="77777777" w:rsidR="009F2A4D" w:rsidRPr="00BF6B8F" w:rsidRDefault="00CF1416" w:rsidP="008D486E">
      <w:pPr>
        <w:pStyle w:val="Resourcelist"/>
        <w:spacing w:after="100"/>
        <w:rPr>
          <w:rStyle w:val="Hyperlink"/>
          <w:rFonts w:ascii="Arial" w:hAnsi="Arial" w:cs="Arial"/>
          <w:color w:val="0000FF"/>
        </w:rPr>
      </w:pPr>
      <w:hyperlink r:id="rId162" w:history="1">
        <w:r w:rsidR="009F2A4D" w:rsidRPr="00BF6B8F">
          <w:rPr>
            <w:rStyle w:val="Hyperlink"/>
            <w:rFonts w:ascii="Arial" w:hAnsi="Arial" w:cs="Arial"/>
            <w:color w:val="0000FF"/>
          </w:rPr>
          <w:t>RealMe</w:t>
        </w:r>
      </w:hyperlink>
    </w:p>
    <w:p w14:paraId="0AC5E5E7" w14:textId="73E3CE7E" w:rsidR="00D73B9C" w:rsidRPr="008A1694" w:rsidRDefault="00BD731C" w:rsidP="008D486E">
      <w:pPr>
        <w:pStyle w:val="HHLBodyText"/>
        <w:spacing w:before="240" w:after="100"/>
        <w:rPr>
          <w:i/>
        </w:rPr>
      </w:pPr>
      <w:r>
        <w:rPr>
          <w:i/>
        </w:rPr>
        <w:t>Annual Practising Certification</w:t>
      </w:r>
    </w:p>
    <w:p w14:paraId="3B9BE2B6" w14:textId="77777777" w:rsidR="00EE25AB" w:rsidRPr="00BF6B8F" w:rsidRDefault="00CF1416" w:rsidP="008D486E">
      <w:pPr>
        <w:pStyle w:val="Resourcelist"/>
        <w:spacing w:after="100"/>
        <w:rPr>
          <w:rStyle w:val="Hyperlink"/>
          <w:rFonts w:ascii="Arial" w:hAnsi="Arial" w:cs="Arial"/>
          <w:color w:val="0000FF"/>
        </w:rPr>
      </w:pPr>
      <w:hyperlink r:id="rId163" w:history="1">
        <w:r w:rsidR="00EE25AB" w:rsidRPr="00BF6B8F">
          <w:rPr>
            <w:rStyle w:val="Hyperlink"/>
            <w:rFonts w:ascii="Arial" w:hAnsi="Arial" w:cs="Arial"/>
            <w:color w:val="0000FF"/>
          </w:rPr>
          <w:t>MCNZ: Doctors already practising in New Zealand</w:t>
        </w:r>
      </w:hyperlink>
    </w:p>
    <w:p w14:paraId="10E36B2E" w14:textId="79F1FF4C" w:rsidR="003D32AA" w:rsidRDefault="00CF1416" w:rsidP="008D486E">
      <w:pPr>
        <w:pStyle w:val="Resourcelist"/>
        <w:spacing w:after="120"/>
        <w:rPr>
          <w:b/>
          <w:color w:val="EE7624"/>
          <w:sz w:val="26"/>
        </w:rPr>
      </w:pPr>
      <w:hyperlink r:id="rId164" w:history="1">
        <w:r w:rsidR="00EE25AB" w:rsidRPr="00BF6B8F">
          <w:rPr>
            <w:rStyle w:val="Hyperlink"/>
            <w:rFonts w:ascii="Arial" w:hAnsi="Arial" w:cs="Arial"/>
            <w:color w:val="0000FF"/>
          </w:rPr>
          <w:t>Nursing Council of New Zealand</w:t>
        </w:r>
      </w:hyperlink>
      <w:r w:rsidR="003D32AA">
        <w:br w:type="page"/>
      </w:r>
    </w:p>
    <w:p w14:paraId="23FDEA08" w14:textId="39CA9913" w:rsidR="00881BEF" w:rsidRPr="00C55F31" w:rsidRDefault="002A287B" w:rsidP="008D486E">
      <w:pPr>
        <w:pStyle w:val="HHLSubHeading"/>
        <w:numPr>
          <w:ilvl w:val="0"/>
          <w:numId w:val="0"/>
        </w:numPr>
        <w:tabs>
          <w:tab w:val="left" w:pos="1560"/>
        </w:tabs>
      </w:pPr>
      <w:bookmarkStart w:id="62" w:name="_Toc6998681"/>
      <w:r w:rsidRPr="00C55F31">
        <w:lastRenderedPageBreak/>
        <w:t xml:space="preserve">Indicator </w:t>
      </w:r>
      <w:r w:rsidR="009F11A2">
        <w:t>21</w:t>
      </w:r>
      <w:r w:rsidRPr="00C55F31">
        <w:t>.</w:t>
      </w:r>
      <w:r w:rsidR="008D486E">
        <w:tab/>
      </w:r>
      <w:r w:rsidR="00881BEF" w:rsidRPr="00C55F31">
        <w:t>Staff induction, reviews and development</w:t>
      </w:r>
      <w:bookmarkEnd w:id="62"/>
    </w:p>
    <w:p w14:paraId="5728CDA6" w14:textId="4D5A806E" w:rsidR="002A287B" w:rsidRPr="00881BEF" w:rsidRDefault="002A287B" w:rsidP="00881BEF">
      <w:pPr>
        <w:pStyle w:val="HHLBodyText"/>
        <w:rPr>
          <w:b/>
        </w:rPr>
      </w:pPr>
      <w:r w:rsidRPr="00881BEF">
        <w:rPr>
          <w:b/>
        </w:rPr>
        <w:t xml:space="preserve">Our practice </w:t>
      </w:r>
      <w:r w:rsidR="00607C0F" w:rsidRPr="00881BEF">
        <w:rPr>
          <w:b/>
        </w:rPr>
        <w:t>inducts, supports and guides all permanent and temporary team members</w:t>
      </w:r>
      <w:r w:rsidRPr="00881BEF">
        <w:rPr>
          <w:b/>
        </w:rPr>
        <w:t>.</w:t>
      </w:r>
    </w:p>
    <w:tbl>
      <w:tblPr>
        <w:tblStyle w:val="TableGrid1"/>
        <w:tblW w:w="0" w:type="auto"/>
        <w:tblLook w:val="04A0" w:firstRow="1" w:lastRow="0" w:firstColumn="1" w:lastColumn="0" w:noHBand="0" w:noVBand="1"/>
      </w:tblPr>
      <w:tblGrid>
        <w:gridCol w:w="1151"/>
        <w:gridCol w:w="4544"/>
        <w:gridCol w:w="4047"/>
      </w:tblGrid>
      <w:tr w:rsidR="002A287B" w:rsidRPr="00A81435" w14:paraId="75369F48" w14:textId="77777777" w:rsidTr="00CB11C2">
        <w:tc>
          <w:tcPr>
            <w:tcW w:w="1153" w:type="dxa"/>
            <w:shd w:val="clear" w:color="auto" w:fill="FBD4B4" w:themeFill="accent6" w:themeFillTint="66"/>
          </w:tcPr>
          <w:p w14:paraId="53663790" w14:textId="77777777" w:rsidR="002A287B" w:rsidRPr="00A81435" w:rsidRDefault="002A287B" w:rsidP="003016B9">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136E7C7C" w14:textId="77777777" w:rsidR="002A287B" w:rsidRPr="00A81435" w:rsidRDefault="002A287B" w:rsidP="003016B9">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10AA6D7A" w14:textId="659B02A7" w:rsidR="002A287B" w:rsidRPr="00A81435" w:rsidRDefault="002A287B" w:rsidP="003016B9">
            <w:pPr>
              <w:spacing w:before="120" w:after="120"/>
              <w:rPr>
                <w:b/>
                <w:color w:val="auto"/>
                <w:sz w:val="22"/>
                <w:szCs w:val="22"/>
              </w:rPr>
            </w:pPr>
            <w:r w:rsidRPr="00A81435">
              <w:rPr>
                <w:b/>
                <w:color w:val="auto"/>
                <w:sz w:val="22"/>
                <w:szCs w:val="22"/>
              </w:rPr>
              <w:t>Required evidence</w:t>
            </w:r>
          </w:p>
        </w:tc>
      </w:tr>
      <w:tr w:rsidR="002A287B" w:rsidRPr="00A81435" w14:paraId="035C7CEB" w14:textId="77777777" w:rsidTr="00CB11C2">
        <w:tc>
          <w:tcPr>
            <w:tcW w:w="1153" w:type="dxa"/>
          </w:tcPr>
          <w:p w14:paraId="4B8995AD" w14:textId="4560A993" w:rsidR="002A287B" w:rsidRPr="006F01D0" w:rsidRDefault="009F11A2" w:rsidP="003016B9">
            <w:pPr>
              <w:spacing w:before="60"/>
              <w:rPr>
                <w:color w:val="auto"/>
                <w:sz w:val="22"/>
                <w:szCs w:val="22"/>
              </w:rPr>
            </w:pPr>
            <w:r>
              <w:rPr>
                <w:color w:val="auto"/>
                <w:sz w:val="22"/>
                <w:szCs w:val="22"/>
              </w:rPr>
              <w:t>2</w:t>
            </w:r>
            <w:r w:rsidR="002A287B" w:rsidRPr="006F01D0">
              <w:rPr>
                <w:color w:val="auto"/>
                <w:sz w:val="22"/>
                <w:szCs w:val="22"/>
              </w:rPr>
              <w:t>1.1</w:t>
            </w:r>
          </w:p>
        </w:tc>
        <w:tc>
          <w:tcPr>
            <w:tcW w:w="4568" w:type="dxa"/>
          </w:tcPr>
          <w:p w14:paraId="46631FB7" w14:textId="34DCCBBB" w:rsidR="002A287B" w:rsidRPr="00626E98" w:rsidRDefault="00BF5824" w:rsidP="006F01D0">
            <w:pPr>
              <w:tabs>
                <w:tab w:val="left" w:pos="151"/>
              </w:tabs>
              <w:spacing w:before="60"/>
              <w:rPr>
                <w:rFonts w:cs="Arial"/>
                <w:color w:val="auto"/>
                <w:sz w:val="22"/>
                <w:szCs w:val="22"/>
              </w:rPr>
            </w:pPr>
            <w:r w:rsidRPr="00626E98">
              <w:rPr>
                <w:color w:val="auto"/>
                <w:sz w:val="22"/>
                <w:szCs w:val="22"/>
              </w:rPr>
              <w:t>Provide new team members</w:t>
            </w:r>
            <w:r w:rsidR="008A7358">
              <w:rPr>
                <w:color w:val="auto"/>
                <w:sz w:val="22"/>
                <w:szCs w:val="22"/>
              </w:rPr>
              <w:t xml:space="preserve"> </w:t>
            </w:r>
            <w:r w:rsidRPr="00626E98">
              <w:rPr>
                <w:color w:val="auto"/>
                <w:sz w:val="22"/>
                <w:szCs w:val="22"/>
              </w:rPr>
              <w:t>/</w:t>
            </w:r>
            <w:r w:rsidR="008A7358">
              <w:rPr>
                <w:color w:val="auto"/>
                <w:sz w:val="22"/>
                <w:szCs w:val="22"/>
              </w:rPr>
              <w:t xml:space="preserve"> </w:t>
            </w:r>
            <w:r w:rsidRPr="00626E98">
              <w:rPr>
                <w:color w:val="auto"/>
                <w:sz w:val="22"/>
                <w:szCs w:val="22"/>
              </w:rPr>
              <w:t xml:space="preserve">locums with practice information resources - including role specific information and </w:t>
            </w:r>
            <w:r w:rsidR="008A7358">
              <w:rPr>
                <w:color w:val="auto"/>
                <w:sz w:val="22"/>
                <w:szCs w:val="22"/>
              </w:rPr>
              <w:t xml:space="preserve">a </w:t>
            </w:r>
            <w:r w:rsidRPr="00626E98">
              <w:rPr>
                <w:color w:val="auto"/>
                <w:sz w:val="22"/>
                <w:szCs w:val="22"/>
              </w:rPr>
              <w:t>supportive induction</w:t>
            </w:r>
            <w:r w:rsidR="00626E98" w:rsidRPr="00626E98">
              <w:rPr>
                <w:color w:val="auto"/>
                <w:sz w:val="22"/>
                <w:szCs w:val="22"/>
              </w:rPr>
              <w:t>.</w:t>
            </w:r>
          </w:p>
        </w:tc>
        <w:tc>
          <w:tcPr>
            <w:tcW w:w="4075" w:type="dxa"/>
          </w:tcPr>
          <w:p w14:paraId="2412B3FA" w14:textId="6302EE95" w:rsidR="00626E98" w:rsidRPr="00626E98" w:rsidRDefault="00B13B34" w:rsidP="00CB11C2">
            <w:pPr>
              <w:pStyle w:val="CommentText"/>
              <w:rPr>
                <w:color w:val="auto"/>
                <w:sz w:val="22"/>
                <w:szCs w:val="22"/>
              </w:rPr>
            </w:pPr>
            <w:r>
              <w:rPr>
                <w:color w:val="auto"/>
                <w:sz w:val="22"/>
                <w:szCs w:val="22"/>
              </w:rPr>
              <w:t>A documented r</w:t>
            </w:r>
            <w:r w:rsidR="00626E98" w:rsidRPr="00626E98">
              <w:rPr>
                <w:color w:val="auto"/>
                <w:sz w:val="22"/>
                <w:szCs w:val="22"/>
              </w:rPr>
              <w:t>ole specific position description</w:t>
            </w:r>
            <w:r w:rsidR="002A2D49">
              <w:rPr>
                <w:color w:val="auto"/>
                <w:sz w:val="22"/>
                <w:szCs w:val="22"/>
              </w:rPr>
              <w:t>.</w:t>
            </w:r>
          </w:p>
          <w:p w14:paraId="1C208223" w14:textId="672EBE87" w:rsidR="002A287B" w:rsidRDefault="002A2D49" w:rsidP="00CB11C2">
            <w:pPr>
              <w:pStyle w:val="CommentText"/>
              <w:rPr>
                <w:color w:val="auto"/>
                <w:sz w:val="22"/>
                <w:szCs w:val="22"/>
              </w:rPr>
            </w:pPr>
            <w:r>
              <w:rPr>
                <w:color w:val="auto"/>
                <w:sz w:val="22"/>
                <w:szCs w:val="22"/>
              </w:rPr>
              <w:t>I</w:t>
            </w:r>
            <w:r w:rsidR="00626E98" w:rsidRPr="00626E98">
              <w:rPr>
                <w:color w:val="auto"/>
                <w:sz w:val="22"/>
                <w:szCs w:val="22"/>
              </w:rPr>
              <w:t>nduction checklist for each new employee</w:t>
            </w:r>
            <w:r w:rsidR="00B13B34">
              <w:rPr>
                <w:color w:val="auto"/>
                <w:sz w:val="22"/>
                <w:szCs w:val="22"/>
              </w:rPr>
              <w:t xml:space="preserve"> / locum</w:t>
            </w:r>
            <w:r>
              <w:rPr>
                <w:color w:val="auto"/>
                <w:sz w:val="22"/>
                <w:szCs w:val="22"/>
              </w:rPr>
              <w:t>.</w:t>
            </w:r>
          </w:p>
          <w:p w14:paraId="262D4239" w14:textId="2E352587" w:rsidR="00CB11C2" w:rsidRPr="00626E98" w:rsidRDefault="00CB11C2" w:rsidP="00CB11C2">
            <w:pPr>
              <w:pStyle w:val="CommentText"/>
              <w:rPr>
                <w:color w:val="auto"/>
                <w:sz w:val="22"/>
                <w:szCs w:val="22"/>
              </w:rPr>
            </w:pPr>
            <w:r w:rsidRPr="00626E98">
              <w:rPr>
                <w:color w:val="auto"/>
                <w:sz w:val="22"/>
                <w:szCs w:val="22"/>
              </w:rPr>
              <w:t xml:space="preserve">Practice information </w:t>
            </w:r>
            <w:r>
              <w:rPr>
                <w:color w:val="auto"/>
                <w:sz w:val="22"/>
                <w:szCs w:val="22"/>
              </w:rPr>
              <w:t xml:space="preserve">/ </w:t>
            </w:r>
            <w:r w:rsidRPr="00626E98">
              <w:rPr>
                <w:color w:val="auto"/>
                <w:sz w:val="22"/>
                <w:szCs w:val="22"/>
              </w:rPr>
              <w:t>resource</w:t>
            </w:r>
            <w:r>
              <w:rPr>
                <w:color w:val="auto"/>
                <w:sz w:val="22"/>
                <w:szCs w:val="22"/>
              </w:rPr>
              <w:t>s</w:t>
            </w:r>
            <w:r w:rsidR="00B13B34">
              <w:rPr>
                <w:color w:val="auto"/>
                <w:sz w:val="22"/>
                <w:szCs w:val="22"/>
              </w:rPr>
              <w:t xml:space="preserve"> to support induction</w:t>
            </w:r>
            <w:r>
              <w:rPr>
                <w:color w:val="auto"/>
                <w:sz w:val="22"/>
                <w:szCs w:val="22"/>
              </w:rPr>
              <w:t>.</w:t>
            </w:r>
          </w:p>
          <w:p w14:paraId="63C478D5" w14:textId="160A16FC" w:rsidR="00CB11C2" w:rsidRPr="002A2D49" w:rsidRDefault="00CB11C2" w:rsidP="00CB11C2">
            <w:pPr>
              <w:pStyle w:val="CommentText"/>
              <w:rPr>
                <w:color w:val="auto"/>
                <w:sz w:val="22"/>
                <w:szCs w:val="22"/>
              </w:rPr>
            </w:pPr>
          </w:p>
        </w:tc>
      </w:tr>
      <w:tr w:rsidR="002A287B" w:rsidRPr="00A81435" w14:paraId="035BEF6D" w14:textId="77777777" w:rsidTr="00CB11C2">
        <w:tc>
          <w:tcPr>
            <w:tcW w:w="1153" w:type="dxa"/>
          </w:tcPr>
          <w:p w14:paraId="0E30E850" w14:textId="1738F759" w:rsidR="002A287B" w:rsidRPr="006F01D0" w:rsidRDefault="009F11A2" w:rsidP="003016B9">
            <w:pPr>
              <w:spacing w:before="60"/>
              <w:rPr>
                <w:color w:val="auto"/>
                <w:sz w:val="22"/>
                <w:szCs w:val="22"/>
              </w:rPr>
            </w:pPr>
            <w:r>
              <w:rPr>
                <w:color w:val="auto"/>
                <w:sz w:val="22"/>
                <w:szCs w:val="22"/>
              </w:rPr>
              <w:t>21</w:t>
            </w:r>
            <w:r w:rsidR="002A287B" w:rsidRPr="006F01D0">
              <w:rPr>
                <w:color w:val="auto"/>
                <w:sz w:val="22"/>
                <w:szCs w:val="22"/>
              </w:rPr>
              <w:t>.2</w:t>
            </w:r>
          </w:p>
        </w:tc>
        <w:tc>
          <w:tcPr>
            <w:tcW w:w="4568" w:type="dxa"/>
          </w:tcPr>
          <w:p w14:paraId="780F5376" w14:textId="6778826D" w:rsidR="002A287B" w:rsidRPr="006F01D0" w:rsidRDefault="00C80464" w:rsidP="006F01D0">
            <w:pPr>
              <w:tabs>
                <w:tab w:val="left" w:pos="151"/>
              </w:tabs>
              <w:spacing w:before="60"/>
              <w:rPr>
                <w:rFonts w:cs="Arial"/>
                <w:color w:val="auto"/>
                <w:sz w:val="22"/>
                <w:szCs w:val="22"/>
              </w:rPr>
            </w:pPr>
            <w:r>
              <w:rPr>
                <w:rFonts w:cs="Arial"/>
                <w:color w:val="auto"/>
                <w:sz w:val="22"/>
                <w:szCs w:val="22"/>
              </w:rPr>
              <w:t>Regularly</w:t>
            </w:r>
            <w:r w:rsidR="00EF1986">
              <w:rPr>
                <w:rFonts w:cs="Arial"/>
                <w:color w:val="auto"/>
                <w:sz w:val="22"/>
                <w:szCs w:val="22"/>
              </w:rPr>
              <w:t xml:space="preserve"> communicate </w:t>
            </w:r>
            <w:r w:rsidR="006F01D0" w:rsidRPr="006F01D0">
              <w:rPr>
                <w:rFonts w:cs="Arial"/>
                <w:color w:val="auto"/>
                <w:sz w:val="22"/>
                <w:szCs w:val="22"/>
              </w:rPr>
              <w:t>practice information to all team members</w:t>
            </w:r>
            <w:r w:rsidR="006F01D0">
              <w:rPr>
                <w:rFonts w:cs="Arial"/>
                <w:color w:val="auto"/>
                <w:sz w:val="22"/>
                <w:szCs w:val="22"/>
              </w:rPr>
              <w:t>.</w:t>
            </w:r>
          </w:p>
        </w:tc>
        <w:tc>
          <w:tcPr>
            <w:tcW w:w="4075" w:type="dxa"/>
          </w:tcPr>
          <w:p w14:paraId="7F01CE80" w14:textId="0179EF20" w:rsidR="002A287B" w:rsidRPr="006F01D0" w:rsidRDefault="00B13B34" w:rsidP="003016B9">
            <w:pPr>
              <w:spacing w:before="60"/>
              <w:rPr>
                <w:color w:val="auto"/>
                <w:sz w:val="22"/>
                <w:szCs w:val="22"/>
              </w:rPr>
            </w:pPr>
            <w:r>
              <w:rPr>
                <w:color w:val="auto"/>
                <w:sz w:val="22"/>
                <w:szCs w:val="22"/>
              </w:rPr>
              <w:t>Demonstrate</w:t>
            </w:r>
            <w:r w:rsidRPr="00EF1986">
              <w:rPr>
                <w:color w:val="auto"/>
                <w:sz w:val="22"/>
                <w:szCs w:val="22"/>
              </w:rPr>
              <w:t xml:space="preserve"> </w:t>
            </w:r>
            <w:r w:rsidR="00EF1986" w:rsidRPr="00EF1986">
              <w:rPr>
                <w:color w:val="auto"/>
                <w:sz w:val="22"/>
                <w:szCs w:val="22"/>
              </w:rPr>
              <w:t>how practice information is shared with all team me</w:t>
            </w:r>
            <w:r w:rsidR="00EF1986">
              <w:rPr>
                <w:color w:val="auto"/>
                <w:sz w:val="22"/>
                <w:szCs w:val="22"/>
              </w:rPr>
              <w:t>m</w:t>
            </w:r>
            <w:r w:rsidR="00EF1986" w:rsidRPr="00EF1986">
              <w:rPr>
                <w:color w:val="auto"/>
                <w:sz w:val="22"/>
                <w:szCs w:val="22"/>
              </w:rPr>
              <w:t>bers</w:t>
            </w:r>
            <w:r w:rsidR="00EF1986">
              <w:rPr>
                <w:color w:val="auto"/>
                <w:sz w:val="22"/>
                <w:szCs w:val="22"/>
              </w:rPr>
              <w:t>.</w:t>
            </w:r>
          </w:p>
        </w:tc>
      </w:tr>
      <w:tr w:rsidR="001965AB" w:rsidRPr="00A81435" w14:paraId="6017EB37" w14:textId="77777777" w:rsidTr="00CB11C2">
        <w:tc>
          <w:tcPr>
            <w:tcW w:w="1153" w:type="dxa"/>
          </w:tcPr>
          <w:p w14:paraId="26417CA3" w14:textId="2FD5F99E" w:rsidR="001965AB" w:rsidRPr="006F01D0" w:rsidRDefault="009F11A2" w:rsidP="003016B9">
            <w:pPr>
              <w:spacing w:before="60"/>
              <w:rPr>
                <w:color w:val="auto"/>
                <w:sz w:val="22"/>
                <w:szCs w:val="22"/>
              </w:rPr>
            </w:pPr>
            <w:r>
              <w:rPr>
                <w:color w:val="auto"/>
                <w:sz w:val="22"/>
                <w:szCs w:val="22"/>
              </w:rPr>
              <w:t>21</w:t>
            </w:r>
            <w:r w:rsidR="006F01D0" w:rsidRPr="006F01D0">
              <w:rPr>
                <w:color w:val="auto"/>
                <w:sz w:val="22"/>
                <w:szCs w:val="22"/>
              </w:rPr>
              <w:t>.3</w:t>
            </w:r>
          </w:p>
        </w:tc>
        <w:tc>
          <w:tcPr>
            <w:tcW w:w="4568" w:type="dxa"/>
          </w:tcPr>
          <w:p w14:paraId="3957427F" w14:textId="7DD2836E" w:rsidR="001965AB" w:rsidRPr="005D407D" w:rsidRDefault="005D407D" w:rsidP="005D407D">
            <w:pPr>
              <w:tabs>
                <w:tab w:val="left" w:pos="151"/>
              </w:tabs>
              <w:spacing w:before="60"/>
              <w:rPr>
                <w:rFonts w:cs="Arial"/>
                <w:color w:val="auto"/>
                <w:sz w:val="22"/>
                <w:szCs w:val="22"/>
              </w:rPr>
            </w:pPr>
            <w:r w:rsidRPr="005D407D">
              <w:rPr>
                <w:rFonts w:cs="Arial"/>
                <w:color w:val="auto"/>
                <w:sz w:val="22"/>
                <w:szCs w:val="22"/>
              </w:rPr>
              <w:t>Perform annual (or more often if needed) performance and development reviews and use them to support/guide/educate team members.</w:t>
            </w:r>
          </w:p>
        </w:tc>
        <w:tc>
          <w:tcPr>
            <w:tcW w:w="4075" w:type="dxa"/>
          </w:tcPr>
          <w:p w14:paraId="639ED9D7" w14:textId="3BC9751D" w:rsidR="001965AB" w:rsidRPr="005D407D" w:rsidRDefault="00B13B34" w:rsidP="005D407D">
            <w:pPr>
              <w:tabs>
                <w:tab w:val="left" w:pos="151"/>
              </w:tabs>
              <w:spacing w:before="60"/>
              <w:rPr>
                <w:rFonts w:cs="Arial"/>
                <w:color w:val="auto"/>
                <w:sz w:val="22"/>
                <w:szCs w:val="22"/>
              </w:rPr>
            </w:pPr>
            <w:r>
              <w:rPr>
                <w:rFonts w:cs="Arial"/>
                <w:color w:val="auto"/>
                <w:sz w:val="22"/>
                <w:szCs w:val="22"/>
              </w:rPr>
              <w:t xml:space="preserve">Documented </w:t>
            </w:r>
            <w:r w:rsidR="003D32AA">
              <w:rPr>
                <w:rFonts w:cs="Arial"/>
                <w:color w:val="auto"/>
                <w:sz w:val="22"/>
                <w:szCs w:val="22"/>
              </w:rPr>
              <w:t xml:space="preserve">annual </w:t>
            </w:r>
            <w:r w:rsidR="000A00A8" w:rsidRPr="000A00A8">
              <w:rPr>
                <w:rFonts w:cs="Arial"/>
                <w:color w:val="auto"/>
                <w:sz w:val="22"/>
                <w:szCs w:val="22"/>
              </w:rPr>
              <w:t>performance and development reviews</w:t>
            </w:r>
            <w:r w:rsidR="000A00A8">
              <w:rPr>
                <w:rFonts w:cs="Arial"/>
                <w:color w:val="auto"/>
                <w:sz w:val="22"/>
                <w:szCs w:val="22"/>
              </w:rPr>
              <w:t>.</w:t>
            </w:r>
            <w:r w:rsidR="000A00A8" w:rsidRPr="000A00A8">
              <w:rPr>
                <w:rFonts w:cs="Arial"/>
                <w:color w:val="auto"/>
                <w:sz w:val="22"/>
                <w:szCs w:val="22"/>
              </w:rPr>
              <w:t xml:space="preserve"> </w:t>
            </w:r>
          </w:p>
        </w:tc>
      </w:tr>
    </w:tbl>
    <w:p w14:paraId="3073D513" w14:textId="77777777" w:rsidR="007B29D4" w:rsidRPr="005B2DE1" w:rsidRDefault="007B29D4" w:rsidP="007B29D4">
      <w:pPr>
        <w:pStyle w:val="HHLBodyText"/>
        <w:spacing w:before="240"/>
        <w:rPr>
          <w:b/>
          <w:sz w:val="22"/>
          <w:szCs w:val="22"/>
        </w:rPr>
      </w:pPr>
      <w:r w:rsidRPr="005B2DE1">
        <w:rPr>
          <w:b/>
          <w:sz w:val="22"/>
          <w:szCs w:val="22"/>
        </w:rPr>
        <w:t>Required training</w:t>
      </w:r>
    </w:p>
    <w:p w14:paraId="2226258F" w14:textId="34A3B4A7" w:rsidR="008F568C" w:rsidRPr="00EF0A0E" w:rsidRDefault="00635CA5"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78FCE3DD" w14:textId="28C3615A" w:rsidR="002A287B" w:rsidRDefault="002A287B" w:rsidP="002A287B">
      <w:pPr>
        <w:spacing w:before="240" w:after="120"/>
        <w:rPr>
          <w:b/>
          <w:color w:val="auto"/>
          <w:sz w:val="22"/>
          <w:szCs w:val="22"/>
        </w:rPr>
      </w:pPr>
      <w:r w:rsidRPr="00A81435">
        <w:rPr>
          <w:b/>
          <w:color w:val="auto"/>
          <w:sz w:val="22"/>
          <w:szCs w:val="22"/>
        </w:rPr>
        <w:t>Guidance notes</w:t>
      </w:r>
    </w:p>
    <w:p w14:paraId="12D53537" w14:textId="1439B4F9" w:rsidR="00320E6A" w:rsidRPr="001055F6" w:rsidRDefault="00320E6A" w:rsidP="00E92718">
      <w:pPr>
        <w:pStyle w:val="HHLBodyText"/>
        <w:spacing w:before="240"/>
        <w:rPr>
          <w:i/>
        </w:rPr>
      </w:pPr>
      <w:r w:rsidRPr="001055F6">
        <w:rPr>
          <w:i/>
        </w:rPr>
        <w:t>Induction and orientation programme</w:t>
      </w:r>
    </w:p>
    <w:p w14:paraId="18672DD0" w14:textId="548048AD" w:rsidR="00320E6A" w:rsidRDefault="00320E6A" w:rsidP="00320E6A">
      <w:pPr>
        <w:pStyle w:val="BodyText"/>
      </w:pPr>
      <w:r>
        <w:t xml:space="preserve">Your practice is required to have a documented workplace </w:t>
      </w:r>
      <w:r w:rsidRPr="001D3DB3">
        <w:t>induction programme</w:t>
      </w:r>
      <w:r>
        <w:t xml:space="preserve"> to orientate new employees and independent contractors, including locums</w:t>
      </w:r>
      <w:r w:rsidR="00D5281C">
        <w:t xml:space="preserve"> and GP Registrars</w:t>
      </w:r>
      <w:r>
        <w:t>, to your practice.</w:t>
      </w:r>
    </w:p>
    <w:p w14:paraId="49554C32" w14:textId="575BDA44" w:rsidR="00320E6A" w:rsidRDefault="00320E6A" w:rsidP="00320E6A">
      <w:pPr>
        <w:pStyle w:val="BodyText"/>
      </w:pPr>
      <w:r>
        <w:t xml:space="preserve">Good induction processes and ongoing training are critical to help your employees understand the job and perform well. Both set the tone and expectations for the relationship. A comprehensive and </w:t>
      </w:r>
      <w:r w:rsidR="00C80464">
        <w:t>well-planned</w:t>
      </w:r>
      <w:r>
        <w:t xml:space="preserve"> orientation process brings your new employee or locum ‘up to speed’ quicker and creates a positive impression.</w:t>
      </w:r>
    </w:p>
    <w:p w14:paraId="6858E684" w14:textId="77777777" w:rsidR="00320E6A" w:rsidRDefault="00320E6A" w:rsidP="00320E6A">
      <w:pPr>
        <w:pStyle w:val="BodyText"/>
      </w:pPr>
      <w:r>
        <w:t xml:space="preserve">Orientation may happen over several weeks although some practices commence the process by sending new employees or contractors an orientation package before they commence work. </w:t>
      </w:r>
    </w:p>
    <w:p w14:paraId="35903351" w14:textId="77777777" w:rsidR="00320E6A" w:rsidRDefault="00320E6A" w:rsidP="00320E6A">
      <w:pPr>
        <w:pStyle w:val="BodyText"/>
      </w:pPr>
      <w:r>
        <w:t>The benefits of providing a good induction programme are:</w:t>
      </w:r>
    </w:p>
    <w:p w14:paraId="780D6A56" w14:textId="21E63F2A" w:rsidR="00320E6A" w:rsidRPr="002B480C" w:rsidRDefault="00D803EF" w:rsidP="008D486E">
      <w:pPr>
        <w:pStyle w:val="Bullets-LAST"/>
        <w:numPr>
          <w:ilvl w:val="0"/>
          <w:numId w:val="10"/>
        </w:numPr>
        <w:spacing w:after="60"/>
        <w:ind w:left="576" w:hanging="576"/>
        <w:rPr>
          <w:rFonts w:ascii="Arial" w:hAnsi="Arial" w:cs="Arial"/>
        </w:rPr>
      </w:pPr>
      <w:r>
        <w:rPr>
          <w:rFonts w:ascii="Arial" w:hAnsi="Arial" w:cs="Arial"/>
        </w:rPr>
        <w:t>T</w:t>
      </w:r>
      <w:r w:rsidR="00320E6A" w:rsidRPr="002B480C">
        <w:rPr>
          <w:rFonts w:ascii="Arial" w:hAnsi="Arial" w:cs="Arial"/>
        </w:rPr>
        <w:t xml:space="preserve">o reinforce the positive first impressions new </w:t>
      </w:r>
      <w:r w:rsidR="00C80464" w:rsidRPr="002B480C">
        <w:rPr>
          <w:rFonts w:ascii="Arial" w:hAnsi="Arial" w:cs="Arial"/>
        </w:rPr>
        <w:t>staff,</w:t>
      </w:r>
      <w:r w:rsidR="00320E6A" w:rsidRPr="002B480C">
        <w:rPr>
          <w:rFonts w:ascii="Arial" w:hAnsi="Arial" w:cs="Arial"/>
        </w:rPr>
        <w:t xml:space="preserve"> have of your organisation</w:t>
      </w:r>
      <w:r w:rsidR="00A1565B">
        <w:rPr>
          <w:rFonts w:ascii="Arial" w:hAnsi="Arial" w:cs="Arial"/>
        </w:rPr>
        <w:t>.</w:t>
      </w:r>
    </w:p>
    <w:p w14:paraId="35B5631F" w14:textId="1911E88E" w:rsidR="00320E6A" w:rsidRPr="002B480C" w:rsidRDefault="00D803EF" w:rsidP="008D486E">
      <w:pPr>
        <w:pStyle w:val="Bullets-LAST"/>
        <w:numPr>
          <w:ilvl w:val="0"/>
          <w:numId w:val="10"/>
        </w:numPr>
        <w:spacing w:after="60"/>
        <w:ind w:left="576" w:hanging="576"/>
        <w:rPr>
          <w:rFonts w:ascii="Arial" w:hAnsi="Arial" w:cs="Arial"/>
        </w:rPr>
      </w:pPr>
      <w:r>
        <w:rPr>
          <w:rFonts w:ascii="Arial" w:hAnsi="Arial" w:cs="Arial"/>
        </w:rPr>
        <w:t>M</w:t>
      </w:r>
      <w:r w:rsidR="00320E6A" w:rsidRPr="002B480C">
        <w:rPr>
          <w:rFonts w:ascii="Arial" w:hAnsi="Arial" w:cs="Arial"/>
        </w:rPr>
        <w:t>aking new staff feel welcome</w:t>
      </w:r>
      <w:r w:rsidR="00A1565B">
        <w:rPr>
          <w:rFonts w:ascii="Arial" w:hAnsi="Arial" w:cs="Arial"/>
        </w:rPr>
        <w:t>.</w:t>
      </w:r>
    </w:p>
    <w:p w14:paraId="0AA87C19" w14:textId="400CA319" w:rsidR="00320E6A" w:rsidRPr="002B480C" w:rsidRDefault="00D803EF" w:rsidP="008D486E">
      <w:pPr>
        <w:pStyle w:val="Bullets-LAST"/>
        <w:numPr>
          <w:ilvl w:val="0"/>
          <w:numId w:val="10"/>
        </w:numPr>
        <w:spacing w:after="60"/>
        <w:ind w:left="576" w:hanging="576"/>
        <w:rPr>
          <w:rFonts w:ascii="Arial" w:hAnsi="Arial" w:cs="Arial"/>
        </w:rPr>
      </w:pPr>
      <w:r>
        <w:rPr>
          <w:rFonts w:ascii="Arial" w:hAnsi="Arial" w:cs="Arial"/>
        </w:rPr>
        <w:t>M</w:t>
      </w:r>
      <w:r w:rsidR="00320E6A" w:rsidRPr="002B480C">
        <w:rPr>
          <w:rFonts w:ascii="Arial" w:hAnsi="Arial" w:cs="Arial"/>
        </w:rPr>
        <w:t>aking sure they have all the resources and information they need to fulfil their roles professional and effectively.</w:t>
      </w:r>
    </w:p>
    <w:p w14:paraId="28B1908B" w14:textId="77777777" w:rsidR="00320E6A" w:rsidRDefault="00320E6A" w:rsidP="00320E6A">
      <w:pPr>
        <w:pStyle w:val="BodyText"/>
      </w:pPr>
      <w:r>
        <w:t>The orientation programme should take into account the new staff member’s duties and responsibilities as well as their previous education and work experience. The workplace induction programme must be commenced in the first week of employment.</w:t>
      </w:r>
    </w:p>
    <w:p w14:paraId="6DE75D50" w14:textId="7C227A02" w:rsidR="00320E6A" w:rsidRPr="001055F6" w:rsidRDefault="00320E6A" w:rsidP="00D5281C">
      <w:pPr>
        <w:pStyle w:val="BodyText"/>
        <w:rPr>
          <w:i/>
        </w:rPr>
      </w:pPr>
      <w:r w:rsidRPr="001055F6">
        <w:rPr>
          <w:i/>
        </w:rPr>
        <w:t>Induction and orientation resources</w:t>
      </w:r>
    </w:p>
    <w:p w14:paraId="4E617766" w14:textId="7EDFEDAF" w:rsidR="00320E6A" w:rsidRDefault="00320E6A" w:rsidP="008331EA">
      <w:pPr>
        <w:pStyle w:val="BodyText"/>
      </w:pPr>
      <w:r>
        <w:t>You should provide a resource with information about the practice to new team members</w:t>
      </w:r>
    </w:p>
    <w:p w14:paraId="0C2E65C4" w14:textId="77777777" w:rsidR="00320E6A" w:rsidRDefault="00320E6A" w:rsidP="00320E6A">
      <w:pPr>
        <w:pStyle w:val="BodyText"/>
      </w:pPr>
      <w:r>
        <w:t xml:space="preserve">There are different ways of approaching an induction programme and what you include will depend on your practice, the number and mix of staff you have, and where you are located. </w:t>
      </w:r>
    </w:p>
    <w:p w14:paraId="6B02BE48" w14:textId="2B5DA6EA" w:rsidR="00320E6A" w:rsidRDefault="00320E6A" w:rsidP="00320E6A">
      <w:pPr>
        <w:rPr>
          <w:rStyle w:val="Emphasis"/>
          <w:i w:val="0"/>
          <w:color w:val="auto"/>
          <w:sz w:val="22"/>
          <w:szCs w:val="22"/>
        </w:rPr>
      </w:pPr>
      <w:r w:rsidRPr="006D59B8">
        <w:rPr>
          <w:rStyle w:val="Emphasis"/>
          <w:i w:val="0"/>
          <w:color w:val="auto"/>
          <w:sz w:val="22"/>
          <w:szCs w:val="22"/>
        </w:rPr>
        <w:t>Things to consider in your induction programme and resources:</w:t>
      </w:r>
    </w:p>
    <w:p w14:paraId="42D92AE9" w14:textId="101294A4"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lastRenderedPageBreak/>
        <w:t>An overview of the organisation, structure and culture</w:t>
      </w:r>
    </w:p>
    <w:p w14:paraId="33DD15EB" w14:textId="488D5E66"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A list of key staff within the organisation</w:t>
      </w:r>
    </w:p>
    <w:p w14:paraId="726B5302" w14:textId="761635A7"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If you have a large number of staff, consider having a buddy system to show a new person around and answer any questions</w:t>
      </w:r>
    </w:p>
    <w:p w14:paraId="4D1542B3" w14:textId="43ACB0C2"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Who to contact in case of absence or emergency (give them a copy of the contact details to keep at home)</w:t>
      </w:r>
    </w:p>
    <w:p w14:paraId="70AF9466" w14:textId="006EAAE9"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Paperwork to complete (e.g. staff details form, tax code declaration)</w:t>
      </w:r>
    </w:p>
    <w:p w14:paraId="309F50B0" w14:textId="6AE73193"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Staff welfare facilities (e.g. toilets, changing rooms, first aid facilities, meal rooms)</w:t>
      </w:r>
    </w:p>
    <w:p w14:paraId="1F4CC851" w14:textId="3EBD9926"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The practice policies and where to find them</w:t>
      </w:r>
    </w:p>
    <w:p w14:paraId="0AA909CB" w14:textId="49D45333" w:rsidR="006D59B8" w:rsidRPr="00A1565B" w:rsidRDefault="00402197" w:rsidP="008D486E">
      <w:pPr>
        <w:pStyle w:val="Bullets-LAST"/>
        <w:numPr>
          <w:ilvl w:val="0"/>
          <w:numId w:val="10"/>
        </w:numPr>
        <w:spacing w:after="60"/>
        <w:ind w:left="576" w:hanging="576"/>
        <w:rPr>
          <w:rFonts w:ascii="Arial" w:hAnsi="Arial" w:cs="Arial"/>
        </w:rPr>
      </w:pPr>
      <w:r w:rsidRPr="00A1565B">
        <w:rPr>
          <w:rFonts w:ascii="Arial" w:hAnsi="Arial" w:cs="Arial"/>
        </w:rPr>
        <w:t xml:space="preserve">Role specific position </w:t>
      </w:r>
      <w:r w:rsidR="00856407" w:rsidRPr="00A1565B">
        <w:rPr>
          <w:rFonts w:ascii="Arial" w:hAnsi="Arial" w:cs="Arial"/>
        </w:rPr>
        <w:t>description</w:t>
      </w:r>
      <w:r w:rsidRPr="00A1565B">
        <w:rPr>
          <w:rFonts w:ascii="Arial" w:hAnsi="Arial" w:cs="Arial"/>
        </w:rPr>
        <w:t>.</w:t>
      </w:r>
    </w:p>
    <w:p w14:paraId="6EDD593F" w14:textId="555AA8A2"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Start times, finish times and the duration of breaks</w:t>
      </w:r>
    </w:p>
    <w:p w14:paraId="120436C8" w14:textId="59E7F04A"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All aspects of the employment relationship, levels of quality, performance, expected behaviour and conduct in the workplace, contractual obligations, benefits schemes (if you have them), and so forth</w:t>
      </w:r>
    </w:p>
    <w:p w14:paraId="31FA352E" w14:textId="3DBF75BC" w:rsidR="006D59B8" w:rsidRPr="00A1565B" w:rsidRDefault="006D59B8" w:rsidP="008D486E">
      <w:pPr>
        <w:pStyle w:val="Bullets-LAST"/>
        <w:numPr>
          <w:ilvl w:val="0"/>
          <w:numId w:val="10"/>
        </w:numPr>
        <w:spacing w:after="60"/>
        <w:ind w:left="576" w:hanging="576"/>
        <w:rPr>
          <w:rFonts w:ascii="Arial" w:hAnsi="Arial" w:cs="Arial"/>
        </w:rPr>
      </w:pPr>
      <w:r w:rsidRPr="00A1565B">
        <w:rPr>
          <w:rFonts w:ascii="Arial" w:hAnsi="Arial" w:cs="Arial"/>
        </w:rPr>
        <w:t>Legislative and professional requirements (e.g. APC, safety checks for the Vulnerable Children Act 2014)</w:t>
      </w:r>
    </w:p>
    <w:p w14:paraId="4DA76CBC" w14:textId="77777777" w:rsidR="006D59B8" w:rsidRPr="00B27C3F" w:rsidRDefault="006D59B8" w:rsidP="008D486E">
      <w:pPr>
        <w:pStyle w:val="ListParagraph"/>
        <w:numPr>
          <w:ilvl w:val="0"/>
          <w:numId w:val="26"/>
        </w:numPr>
        <w:ind w:left="576" w:hanging="576"/>
        <w:contextualSpacing w:val="0"/>
        <w:rPr>
          <w:color w:val="auto"/>
          <w:sz w:val="22"/>
          <w:szCs w:val="22"/>
        </w:rPr>
      </w:pPr>
      <w:r w:rsidRPr="00B27C3F">
        <w:rPr>
          <w:color w:val="auto"/>
          <w:sz w:val="22"/>
          <w:szCs w:val="22"/>
        </w:rPr>
        <w:t>Health and safety issues including:</w:t>
      </w:r>
    </w:p>
    <w:p w14:paraId="2B033DDE" w14:textId="7418E8A6" w:rsidR="006D59B8" w:rsidRPr="00536440" w:rsidRDefault="005D77FF"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T</w:t>
      </w:r>
      <w:r w:rsidR="006D59B8" w:rsidRPr="00536440">
        <w:rPr>
          <w:rFonts w:ascii="Arial" w:hAnsi="Arial" w:cs="Arial"/>
          <w:color w:val="auto"/>
          <w:szCs w:val="22"/>
        </w:rPr>
        <w:t>heir responsibilities for health and safety</w:t>
      </w:r>
    </w:p>
    <w:p w14:paraId="366931C2" w14:textId="7AA21A58"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I</w:t>
      </w:r>
      <w:r w:rsidR="006D59B8" w:rsidRPr="00536440">
        <w:rPr>
          <w:rFonts w:ascii="Arial" w:hAnsi="Arial" w:cs="Arial"/>
          <w:color w:val="auto"/>
          <w:szCs w:val="22"/>
        </w:rPr>
        <w:t>nformation about hazards, risks and control measures</w:t>
      </w:r>
    </w:p>
    <w:p w14:paraId="7CA6BD95" w14:textId="37D98D7E"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A</w:t>
      </w:r>
      <w:r w:rsidR="006D59B8" w:rsidRPr="00536440">
        <w:rPr>
          <w:rFonts w:ascii="Arial" w:hAnsi="Arial" w:cs="Arial"/>
          <w:color w:val="auto"/>
          <w:szCs w:val="22"/>
        </w:rPr>
        <w:t>ny safety or other equipment, e.g. personal protective equipment (PPE), and how to use it</w:t>
      </w:r>
    </w:p>
    <w:p w14:paraId="23C402BA" w14:textId="3015E76D"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C</w:t>
      </w:r>
      <w:r w:rsidR="006D59B8" w:rsidRPr="00536440">
        <w:rPr>
          <w:rFonts w:ascii="Arial" w:hAnsi="Arial" w:cs="Arial"/>
          <w:color w:val="auto"/>
          <w:szCs w:val="22"/>
        </w:rPr>
        <w:t>ertification and training for specific pieces of equipment (e.g. steriliser)</w:t>
      </w:r>
    </w:p>
    <w:p w14:paraId="31A96E51" w14:textId="535C1378"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F</w:t>
      </w:r>
      <w:r w:rsidR="006D59B8" w:rsidRPr="00536440">
        <w:rPr>
          <w:rFonts w:ascii="Arial" w:hAnsi="Arial" w:cs="Arial"/>
          <w:color w:val="auto"/>
          <w:szCs w:val="22"/>
        </w:rPr>
        <w:t>ire and emergency procedures and equipment. Include evacuation requirements, responsibilities and assembly points</w:t>
      </w:r>
    </w:p>
    <w:p w14:paraId="4BF9DD9C" w14:textId="0E63B864"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H</w:t>
      </w:r>
      <w:r w:rsidR="006D59B8" w:rsidRPr="00536440">
        <w:rPr>
          <w:rFonts w:ascii="Arial" w:hAnsi="Arial" w:cs="Arial"/>
          <w:color w:val="auto"/>
          <w:szCs w:val="22"/>
        </w:rPr>
        <w:t>ow to report incidents and accidents</w:t>
      </w:r>
    </w:p>
    <w:p w14:paraId="4BB78EC0" w14:textId="22A586FB"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H</w:t>
      </w:r>
      <w:r w:rsidR="006D59B8" w:rsidRPr="00536440">
        <w:rPr>
          <w:rFonts w:ascii="Arial" w:hAnsi="Arial" w:cs="Arial"/>
          <w:color w:val="auto"/>
          <w:szCs w:val="22"/>
        </w:rPr>
        <w:t>ow they can participate in health and safety matters on an ongoing basis</w:t>
      </w:r>
    </w:p>
    <w:p w14:paraId="7514748D" w14:textId="43381CEE" w:rsidR="006D59B8" w:rsidRPr="00536440" w:rsidRDefault="00E84C71" w:rsidP="008D486E">
      <w:pPr>
        <w:pStyle w:val="Bullets-LAST"/>
        <w:numPr>
          <w:ilvl w:val="0"/>
          <w:numId w:val="32"/>
        </w:numPr>
        <w:spacing w:before="60" w:after="60"/>
        <w:ind w:left="1134" w:hanging="567"/>
        <w:rPr>
          <w:rFonts w:ascii="Arial" w:hAnsi="Arial" w:cs="Arial"/>
          <w:color w:val="auto"/>
          <w:szCs w:val="22"/>
        </w:rPr>
      </w:pPr>
      <w:r w:rsidRPr="00536440">
        <w:rPr>
          <w:rFonts w:ascii="Arial" w:hAnsi="Arial" w:cs="Arial"/>
          <w:color w:val="auto"/>
          <w:szCs w:val="22"/>
        </w:rPr>
        <w:t>W</w:t>
      </w:r>
      <w:r w:rsidR="006D59B8" w:rsidRPr="00536440">
        <w:rPr>
          <w:rFonts w:ascii="Arial" w:hAnsi="Arial" w:cs="Arial"/>
          <w:color w:val="auto"/>
          <w:szCs w:val="22"/>
        </w:rPr>
        <w:t>orkstation set up</w:t>
      </w:r>
    </w:p>
    <w:p w14:paraId="2C253B3A" w14:textId="7918ADFC" w:rsidR="00B27C3F" w:rsidRPr="00A1565B" w:rsidRDefault="00B27C3F" w:rsidP="008D486E">
      <w:pPr>
        <w:pStyle w:val="Bullets-LAST"/>
        <w:numPr>
          <w:ilvl w:val="0"/>
          <w:numId w:val="10"/>
        </w:numPr>
        <w:spacing w:after="60"/>
        <w:ind w:left="576" w:hanging="576"/>
        <w:rPr>
          <w:rFonts w:ascii="Arial" w:hAnsi="Arial" w:cs="Arial"/>
        </w:rPr>
      </w:pPr>
      <w:r w:rsidRPr="00A1565B">
        <w:rPr>
          <w:rFonts w:ascii="Arial" w:hAnsi="Arial" w:cs="Arial"/>
        </w:rPr>
        <w:t>Financial allocations and arrangements if applicable</w:t>
      </w:r>
    </w:p>
    <w:p w14:paraId="42D785E5" w14:textId="61388B04" w:rsidR="00B27C3F" w:rsidRPr="00A1565B" w:rsidRDefault="00B27C3F" w:rsidP="008D486E">
      <w:pPr>
        <w:pStyle w:val="Bullets-LAST"/>
        <w:numPr>
          <w:ilvl w:val="0"/>
          <w:numId w:val="10"/>
        </w:numPr>
        <w:spacing w:after="60"/>
        <w:ind w:left="576" w:hanging="576"/>
        <w:rPr>
          <w:rFonts w:ascii="Arial" w:hAnsi="Arial" w:cs="Arial"/>
        </w:rPr>
      </w:pPr>
      <w:r w:rsidRPr="00A1565B">
        <w:rPr>
          <w:rFonts w:ascii="Arial" w:hAnsi="Arial" w:cs="Arial"/>
        </w:rPr>
        <w:t>Environment/location information</w:t>
      </w:r>
    </w:p>
    <w:p w14:paraId="4E8BAA16" w14:textId="77777777" w:rsidR="006C4D1A" w:rsidRDefault="006C4D1A" w:rsidP="00E84C71">
      <w:pPr>
        <w:pStyle w:val="HHLBodyText"/>
        <w:spacing w:before="240"/>
        <w:rPr>
          <w:i/>
        </w:rPr>
      </w:pPr>
      <w:r>
        <w:rPr>
          <w:i/>
        </w:rPr>
        <w:t>Disseminating practice information to all team members</w:t>
      </w:r>
    </w:p>
    <w:p w14:paraId="5F08DAA5" w14:textId="77777777" w:rsidR="006C4D1A" w:rsidRDefault="006C4D1A" w:rsidP="006C4D1A">
      <w:pPr>
        <w:pStyle w:val="BodyText"/>
      </w:pPr>
      <w:r>
        <w:t xml:space="preserve">Your practice will need to provide evidence that information is disseminated to members of the practice to keep them all informed about practice activities and decisions. Sharing ideas and information is inclusive and keeps everyone informed about practice activities or decisions. This enhances team culture and provides a shared and consistent approach to business and the delivery of health care. </w:t>
      </w:r>
    </w:p>
    <w:p w14:paraId="71B8D5D0" w14:textId="77777777" w:rsidR="006C4D1A" w:rsidRDefault="006C4D1A" w:rsidP="006C4D1A">
      <w:pPr>
        <w:pStyle w:val="BodyText"/>
      </w:pPr>
      <w:r>
        <w:t>Ways you can communicate with your practice team:</w:t>
      </w:r>
    </w:p>
    <w:p w14:paraId="5AEF7FA7" w14:textId="5ABAB6D1" w:rsidR="006C4D1A" w:rsidRPr="00C6305D" w:rsidRDefault="006C4D1A" w:rsidP="008D486E">
      <w:pPr>
        <w:pStyle w:val="Bullets"/>
        <w:ind w:left="568" w:hanging="568"/>
        <w:rPr>
          <w:rFonts w:ascii="Arial" w:hAnsi="Arial" w:cs="Arial"/>
        </w:rPr>
      </w:pPr>
      <w:r w:rsidRPr="00C6305D">
        <w:rPr>
          <w:rFonts w:ascii="Arial" w:hAnsi="Arial" w:cs="Arial"/>
        </w:rPr>
        <w:t>Practice intranet</w:t>
      </w:r>
    </w:p>
    <w:p w14:paraId="31010382" w14:textId="48046065" w:rsidR="006C4D1A" w:rsidRPr="00C6305D" w:rsidRDefault="006C4D1A" w:rsidP="008D486E">
      <w:pPr>
        <w:pStyle w:val="Bullets"/>
        <w:ind w:left="568" w:hanging="568"/>
        <w:rPr>
          <w:rFonts w:ascii="Arial" w:hAnsi="Arial" w:cs="Arial"/>
        </w:rPr>
      </w:pPr>
      <w:r w:rsidRPr="00C6305D">
        <w:rPr>
          <w:rFonts w:ascii="Arial" w:hAnsi="Arial" w:cs="Arial"/>
        </w:rPr>
        <w:t>Staffroom notices</w:t>
      </w:r>
    </w:p>
    <w:p w14:paraId="0EF063E7" w14:textId="6AF2CED1" w:rsidR="006C4D1A" w:rsidRPr="00C6305D" w:rsidRDefault="006C4D1A" w:rsidP="008D486E">
      <w:pPr>
        <w:pStyle w:val="Bullets"/>
        <w:ind w:left="568" w:hanging="568"/>
        <w:rPr>
          <w:rFonts w:ascii="Arial" w:hAnsi="Arial" w:cs="Arial"/>
        </w:rPr>
      </w:pPr>
      <w:r w:rsidRPr="00C6305D">
        <w:rPr>
          <w:rFonts w:ascii="Arial" w:hAnsi="Arial" w:cs="Arial"/>
        </w:rPr>
        <w:t>Staff notebooks or communication books</w:t>
      </w:r>
    </w:p>
    <w:p w14:paraId="373547F2" w14:textId="7FF516BE" w:rsidR="006C4D1A" w:rsidRDefault="006C4D1A" w:rsidP="008D486E">
      <w:pPr>
        <w:pStyle w:val="Bullets"/>
        <w:ind w:left="568" w:hanging="568"/>
        <w:rPr>
          <w:rFonts w:ascii="Arial" w:hAnsi="Arial" w:cs="Arial"/>
        </w:rPr>
      </w:pPr>
      <w:r w:rsidRPr="00C6305D">
        <w:rPr>
          <w:rFonts w:ascii="Arial" w:hAnsi="Arial" w:cs="Arial"/>
        </w:rPr>
        <w:t>Staff newsletter</w:t>
      </w:r>
    </w:p>
    <w:p w14:paraId="614E257D" w14:textId="787669BC" w:rsidR="00DA0EC3" w:rsidRDefault="00DA0EC3" w:rsidP="008D486E">
      <w:pPr>
        <w:pStyle w:val="Bullets"/>
        <w:ind w:left="568" w:hanging="568"/>
        <w:rPr>
          <w:rFonts w:ascii="Arial" w:hAnsi="Arial" w:cs="Arial"/>
        </w:rPr>
      </w:pPr>
      <w:r>
        <w:rPr>
          <w:rFonts w:ascii="Arial" w:hAnsi="Arial" w:cs="Arial"/>
        </w:rPr>
        <w:t xml:space="preserve">Staff </w:t>
      </w:r>
      <w:r w:rsidR="00856407">
        <w:rPr>
          <w:rFonts w:ascii="Arial" w:hAnsi="Arial" w:cs="Arial"/>
        </w:rPr>
        <w:t>meetings</w:t>
      </w:r>
    </w:p>
    <w:p w14:paraId="700B4EE0" w14:textId="7152A2AF" w:rsidR="00DA0EC3" w:rsidRPr="00C6305D" w:rsidRDefault="00347F8B" w:rsidP="008D486E">
      <w:pPr>
        <w:pStyle w:val="Bullets"/>
        <w:ind w:left="568" w:hanging="568"/>
        <w:rPr>
          <w:rFonts w:ascii="Arial" w:hAnsi="Arial" w:cs="Arial"/>
        </w:rPr>
      </w:pPr>
      <w:r>
        <w:rPr>
          <w:rFonts w:ascii="Arial" w:hAnsi="Arial" w:cs="Arial"/>
        </w:rPr>
        <w:t>PMS features</w:t>
      </w:r>
    </w:p>
    <w:p w14:paraId="1215DD24" w14:textId="0D9FF25A" w:rsidR="006C4D1A" w:rsidRDefault="006C4D1A" w:rsidP="006C4D1A">
      <w:pPr>
        <w:pStyle w:val="BodyText"/>
      </w:pPr>
      <w:r>
        <w:t>Staff meetings are important. Staff meetings help support transparency, give staff the ability to contribute to discussion and enable two-way communication. These things can help improve practice team involvement and functionality.</w:t>
      </w:r>
    </w:p>
    <w:p w14:paraId="6BD179D4" w14:textId="77777777" w:rsidR="006C4D1A" w:rsidRDefault="006C4D1A" w:rsidP="006C4D1A">
      <w:pPr>
        <w:pStyle w:val="BodyText"/>
      </w:pPr>
      <w:r>
        <w:lastRenderedPageBreak/>
        <w:t>You should retain minutes that demonstrate regular meetings of the practice team(s). The minutes may be in the form of electronic files or in hardcopy.</w:t>
      </w:r>
    </w:p>
    <w:p w14:paraId="0FB222DC" w14:textId="13168100" w:rsidR="00320E6A" w:rsidRPr="001055F6" w:rsidRDefault="00320E6A" w:rsidP="00347F8B">
      <w:pPr>
        <w:pStyle w:val="HHLBodyText"/>
        <w:spacing w:before="240"/>
        <w:rPr>
          <w:i/>
        </w:rPr>
      </w:pPr>
      <w:r w:rsidRPr="001055F6">
        <w:rPr>
          <w:i/>
        </w:rPr>
        <w:t xml:space="preserve">Performance </w:t>
      </w:r>
      <w:r w:rsidR="00347F8B">
        <w:rPr>
          <w:i/>
        </w:rPr>
        <w:t>and development reviews</w:t>
      </w:r>
    </w:p>
    <w:p w14:paraId="760BEBB9" w14:textId="2291B468" w:rsidR="00320E6A" w:rsidRDefault="00320E6A" w:rsidP="00320E6A">
      <w:pPr>
        <w:pStyle w:val="BodyText"/>
      </w:pPr>
      <w:r>
        <w:t xml:space="preserve">You’ll need to think about how you will set objectives for your employees and conduct their performance </w:t>
      </w:r>
      <w:r w:rsidR="00E61CE9">
        <w:t>and development reviews.</w:t>
      </w:r>
      <w:r w:rsidR="007B5A77">
        <w:t xml:space="preserve"> </w:t>
      </w:r>
      <w:r>
        <w:t>You should, in consultation with the employee/staff contractor, set objectives at least on an annual basis. You can take these objectives into account when assessing the employee’s performance.</w:t>
      </w:r>
    </w:p>
    <w:p w14:paraId="425F17F6" w14:textId="77777777" w:rsidR="00320E6A" w:rsidRDefault="00320E6A" w:rsidP="00320E6A">
      <w:pPr>
        <w:pStyle w:val="BodyText"/>
      </w:pPr>
      <w:r>
        <w:t>Formal review at agreed times during the year ensures your employees have clear targets to aim for and can perform to agreed standards, both in terms of what is expected and how the results are achieved. The degree of formality of the review will vary depending on your practice. Position Descriptions should also be reviewed on a regular (annual) basis.</w:t>
      </w:r>
    </w:p>
    <w:p w14:paraId="552706AB" w14:textId="6B9EB83C" w:rsidR="00320E6A" w:rsidRDefault="00320E6A" w:rsidP="00320E6A">
      <w:pPr>
        <w:pStyle w:val="BodyText"/>
      </w:pPr>
      <w:r>
        <w:t>You should conduct a</w:t>
      </w:r>
      <w:r w:rsidR="00E61CE9">
        <w:t xml:space="preserve"> performance and development reviews</w:t>
      </w:r>
      <w:r>
        <w:t xml:space="preserve"> </w:t>
      </w:r>
      <w:r w:rsidR="00F6585C">
        <w:t xml:space="preserve">of </w:t>
      </w:r>
      <w:r>
        <w:t xml:space="preserve">your staff on at least an annual basis. This is in addition to regular coaching and performance discussions. </w:t>
      </w:r>
    </w:p>
    <w:p w14:paraId="5537A0D7" w14:textId="2B348FC0" w:rsidR="00320E6A" w:rsidRDefault="00320E6A" w:rsidP="00320E6A">
      <w:pPr>
        <w:pStyle w:val="BodyText"/>
      </w:pPr>
      <w:r>
        <w:t xml:space="preserve">All members of the practice team including practice partners should participate in </w:t>
      </w:r>
      <w:r w:rsidR="00F6585C">
        <w:t>performance and development reviews</w:t>
      </w:r>
      <w:r>
        <w:t xml:space="preserve">. </w:t>
      </w:r>
    </w:p>
    <w:p w14:paraId="52224653" w14:textId="1AD754E7" w:rsidR="00320E6A" w:rsidRDefault="00320E6A" w:rsidP="00320E6A">
      <w:pPr>
        <w:pStyle w:val="BodyText"/>
      </w:pPr>
      <w:r>
        <w:t xml:space="preserve">You can use information from the </w:t>
      </w:r>
      <w:r w:rsidR="00F6585C">
        <w:t xml:space="preserve">performance and development reviews </w:t>
      </w:r>
      <w:r>
        <w:t>to help guide continued education or professional development for all your practice team members. This may be in a response to changing performance requirements, poor performance, new performance objectives or personal ambition.</w:t>
      </w:r>
    </w:p>
    <w:p w14:paraId="07F0BF6A" w14:textId="77777777" w:rsidR="00320E6A" w:rsidRDefault="00320E6A" w:rsidP="00320E6A">
      <w:pPr>
        <w:pStyle w:val="BodyText"/>
      </w:pPr>
      <w:r>
        <w:t>To meet the requirements of the Health Practitioners Competence Assurance Act 2003 (HPCA Act), all clinical team members must demonstrate their competence and fitness to perform their duties. The main purpose of the HPCA Act is to protect the health and safety of the public.</w:t>
      </w:r>
    </w:p>
    <w:p w14:paraId="39EBF025" w14:textId="0C187BE7" w:rsidR="00320E6A" w:rsidRDefault="00320E6A" w:rsidP="00320E6A">
      <w:pPr>
        <w:pStyle w:val="BodyText"/>
      </w:pPr>
      <w:r>
        <w:t xml:space="preserve">It is an offence for a clinical health professional to </w:t>
      </w:r>
      <w:r w:rsidR="00C80464">
        <w:t>practice</w:t>
      </w:r>
      <w:r>
        <w:t xml:space="preserve"> without a current practising certificate. Each health professional is responsible for maintaining competence to </w:t>
      </w:r>
      <w:r w:rsidR="00C80464">
        <w:t>practice</w:t>
      </w:r>
      <w:r>
        <w:t xml:space="preserve"> in accordance with the Health Practitioners Competence Assurance Act 2003.</w:t>
      </w:r>
    </w:p>
    <w:p w14:paraId="2B687C7B" w14:textId="77777777" w:rsidR="00320E6A" w:rsidRDefault="00320E6A" w:rsidP="00320E6A">
      <w:pPr>
        <w:pStyle w:val="BodyText"/>
      </w:pPr>
      <w:r>
        <w:t>For risk management it is recommended your practice maintains a record of certification, including expiry dates.</w:t>
      </w:r>
    </w:p>
    <w:p w14:paraId="51612D6F" w14:textId="77777777" w:rsidR="002A287B" w:rsidRDefault="002A287B" w:rsidP="002A287B">
      <w:pPr>
        <w:spacing w:before="240" w:after="120"/>
        <w:rPr>
          <w:b/>
          <w:color w:val="auto"/>
          <w:sz w:val="22"/>
          <w:szCs w:val="22"/>
        </w:rPr>
      </w:pPr>
      <w:r w:rsidRPr="00A81435">
        <w:rPr>
          <w:b/>
          <w:color w:val="auto"/>
          <w:sz w:val="22"/>
          <w:szCs w:val="22"/>
        </w:rPr>
        <w:t>Resources</w:t>
      </w:r>
    </w:p>
    <w:p w14:paraId="0DDB98FA" w14:textId="77777777" w:rsidR="00394235" w:rsidRPr="007A21AB" w:rsidRDefault="00394235" w:rsidP="007A21AB">
      <w:pPr>
        <w:pStyle w:val="HHLBodyText"/>
        <w:rPr>
          <w:i/>
        </w:rPr>
      </w:pPr>
      <w:r w:rsidRPr="007A21AB">
        <w:rPr>
          <w:i/>
        </w:rPr>
        <w:t>Employment resources:</w:t>
      </w:r>
    </w:p>
    <w:p w14:paraId="3C886EBC" w14:textId="77777777" w:rsidR="00394235" w:rsidRPr="00BF6B8F" w:rsidRDefault="00CF1416" w:rsidP="0024030C">
      <w:pPr>
        <w:pStyle w:val="Resourcelist"/>
        <w:spacing w:after="120"/>
        <w:rPr>
          <w:rStyle w:val="Hyperlink"/>
          <w:rFonts w:ascii="Arial" w:hAnsi="Arial" w:cs="Arial"/>
          <w:color w:val="0000FF"/>
        </w:rPr>
      </w:pPr>
      <w:hyperlink r:id="rId165" w:history="1">
        <w:r w:rsidR="00394235" w:rsidRPr="00BF6B8F">
          <w:rPr>
            <w:rStyle w:val="Hyperlink"/>
            <w:rFonts w:ascii="Arial" w:hAnsi="Arial" w:cs="Arial"/>
            <w:color w:val="0000FF"/>
          </w:rPr>
          <w:t>Employment Relations Act 2000</w:t>
        </w:r>
      </w:hyperlink>
    </w:p>
    <w:p w14:paraId="590CF9D0" w14:textId="650BC861" w:rsidR="00394235" w:rsidRPr="00BF6B8F" w:rsidRDefault="00CF1416" w:rsidP="0024030C">
      <w:pPr>
        <w:pStyle w:val="Resourcelist"/>
        <w:spacing w:after="120"/>
        <w:rPr>
          <w:rStyle w:val="Hyperlink"/>
          <w:rFonts w:ascii="Arial" w:hAnsi="Arial" w:cs="Arial"/>
          <w:color w:val="0000FF"/>
        </w:rPr>
      </w:pPr>
      <w:hyperlink r:id="rId166" w:history="1">
        <w:r w:rsidR="00394235" w:rsidRPr="00BF6B8F">
          <w:rPr>
            <w:rStyle w:val="Hyperlink"/>
            <w:rFonts w:ascii="Arial" w:hAnsi="Arial" w:cs="Arial"/>
            <w:color w:val="0000FF"/>
          </w:rPr>
          <w:t>Employment New Zealand</w:t>
        </w:r>
      </w:hyperlink>
    </w:p>
    <w:p w14:paraId="659FD2E0" w14:textId="77777777" w:rsidR="00394235" w:rsidRPr="00BF6B8F" w:rsidRDefault="00394235" w:rsidP="0024030C">
      <w:pPr>
        <w:pStyle w:val="Resourcelist"/>
        <w:spacing w:after="120"/>
        <w:rPr>
          <w:rStyle w:val="Hyperlink"/>
          <w:rFonts w:ascii="Arial" w:hAnsi="Arial" w:cs="Arial"/>
          <w:color w:val="0000FF"/>
        </w:rPr>
      </w:pPr>
      <w:r w:rsidRPr="00BF6B8F">
        <w:rPr>
          <w:rStyle w:val="Hyperlink"/>
          <w:rFonts w:ascii="Arial" w:hAnsi="Arial" w:cs="Arial"/>
          <w:color w:val="0000FF"/>
        </w:rPr>
        <w:fldChar w:fldCharType="begin"/>
      </w:r>
      <w:r w:rsidRPr="00BF6B8F">
        <w:rPr>
          <w:rStyle w:val="Hyperlink"/>
          <w:rFonts w:ascii="Arial" w:hAnsi="Arial" w:cs="Arial"/>
          <w:color w:val="0000FF"/>
        </w:rPr>
        <w:instrText>HYPERLINK  "http://www.hrinz.org.nz/Site/Resources/Knowledge_Base/I-P/Induction.aspx"</w:instrText>
      </w:r>
      <w:r w:rsidRPr="00BF6B8F">
        <w:rPr>
          <w:rStyle w:val="Hyperlink"/>
          <w:rFonts w:ascii="Arial" w:hAnsi="Arial" w:cs="Arial"/>
          <w:color w:val="0000FF"/>
        </w:rPr>
        <w:fldChar w:fldCharType="separate"/>
      </w:r>
      <w:r w:rsidRPr="00BF6B8F">
        <w:rPr>
          <w:rStyle w:val="Hyperlink"/>
          <w:rFonts w:ascii="Arial" w:hAnsi="Arial" w:cs="Arial"/>
          <w:color w:val="0000FF"/>
        </w:rPr>
        <w:t>HRINZ: Induction and HRINZ: Induction guide checklist</w:t>
      </w:r>
    </w:p>
    <w:p w14:paraId="3F69B8A9" w14:textId="03773605" w:rsidR="00394235" w:rsidRPr="00BF6B8F" w:rsidRDefault="00394235" w:rsidP="0024030C">
      <w:pPr>
        <w:pStyle w:val="Resourcelist"/>
        <w:spacing w:after="120"/>
        <w:rPr>
          <w:rStyle w:val="Hyperlink"/>
          <w:rFonts w:ascii="Arial" w:hAnsi="Arial" w:cs="Arial"/>
          <w:color w:val="0000FF"/>
        </w:rPr>
      </w:pPr>
      <w:r w:rsidRPr="00BF6B8F">
        <w:rPr>
          <w:rStyle w:val="Hyperlink"/>
          <w:rFonts w:ascii="Arial" w:hAnsi="Arial" w:cs="Arial"/>
          <w:color w:val="0000FF"/>
        </w:rPr>
        <w:fldChar w:fldCharType="end"/>
      </w:r>
      <w:hyperlink r:id="rId167" w:history="1">
        <w:r w:rsidR="003B70A2" w:rsidRPr="00BF6B8F">
          <w:rPr>
            <w:rStyle w:val="Hyperlink"/>
            <w:rFonts w:ascii="Arial" w:hAnsi="Arial" w:cs="Arial"/>
            <w:color w:val="0000FF"/>
          </w:rPr>
          <w:t xml:space="preserve">Quality </w:t>
        </w:r>
        <w:r w:rsidR="00856407" w:rsidRPr="00BF6B8F">
          <w:rPr>
            <w:rStyle w:val="Hyperlink"/>
            <w:rFonts w:ascii="Arial" w:hAnsi="Arial" w:cs="Arial"/>
            <w:color w:val="0000FF"/>
          </w:rPr>
          <w:t>Practice</w:t>
        </w:r>
        <w:r w:rsidR="003B70A2" w:rsidRPr="00BF6B8F">
          <w:rPr>
            <w:rStyle w:val="Hyperlink"/>
            <w:rFonts w:ascii="Arial" w:hAnsi="Arial" w:cs="Arial"/>
            <w:color w:val="0000FF"/>
          </w:rPr>
          <w:t xml:space="preserve"> </w:t>
        </w:r>
        <w:r w:rsidR="00856407" w:rsidRPr="00BF6B8F">
          <w:rPr>
            <w:rStyle w:val="Hyperlink"/>
            <w:rFonts w:ascii="Arial" w:hAnsi="Arial" w:cs="Arial"/>
            <w:color w:val="0000FF"/>
          </w:rPr>
          <w:t>Accreditation</w:t>
        </w:r>
        <w:r w:rsidR="003B70A2" w:rsidRPr="00BF6B8F">
          <w:rPr>
            <w:rStyle w:val="Hyperlink"/>
            <w:rFonts w:ascii="Arial" w:hAnsi="Arial" w:cs="Arial"/>
            <w:color w:val="0000FF"/>
          </w:rPr>
          <w:t xml:space="preserve">, </w:t>
        </w:r>
        <w:r w:rsidRPr="00BF6B8F">
          <w:rPr>
            <w:rStyle w:val="Hyperlink"/>
            <w:rFonts w:ascii="Arial" w:hAnsi="Arial" w:cs="Arial"/>
            <w:color w:val="0000FF"/>
          </w:rPr>
          <w:t xml:space="preserve">Induction/orientation program </w:t>
        </w:r>
        <w:r w:rsidR="003B70A2" w:rsidRPr="00BF6B8F">
          <w:rPr>
            <w:rStyle w:val="Hyperlink"/>
            <w:rFonts w:ascii="Arial" w:hAnsi="Arial" w:cs="Arial"/>
            <w:color w:val="0000FF"/>
          </w:rPr>
          <w:t>checklist template</w:t>
        </w:r>
      </w:hyperlink>
    </w:p>
    <w:p w14:paraId="55DE0AB4" w14:textId="3D5FC028" w:rsidR="00394235" w:rsidRPr="00BF6B8F" w:rsidRDefault="00CF1416" w:rsidP="0024030C">
      <w:pPr>
        <w:pStyle w:val="Resourcelist"/>
        <w:spacing w:after="120"/>
        <w:rPr>
          <w:rStyle w:val="Hyperlink"/>
          <w:rFonts w:ascii="Arial" w:hAnsi="Arial" w:cs="Arial"/>
          <w:color w:val="0000FF"/>
        </w:rPr>
      </w:pPr>
      <w:hyperlink r:id="rId168" w:history="1">
        <w:r w:rsidR="003B70A2" w:rsidRPr="00BF6B8F">
          <w:rPr>
            <w:rStyle w:val="Hyperlink"/>
            <w:rFonts w:ascii="Arial" w:hAnsi="Arial" w:cs="Arial"/>
            <w:color w:val="0000FF"/>
          </w:rPr>
          <w:t xml:space="preserve">The BMJ, </w:t>
        </w:r>
        <w:r w:rsidR="00394235" w:rsidRPr="00BF6B8F">
          <w:rPr>
            <w:rStyle w:val="Hyperlink"/>
            <w:rFonts w:ascii="Arial" w:hAnsi="Arial" w:cs="Arial"/>
            <w:color w:val="0000FF"/>
          </w:rPr>
          <w:t>Induction for GP locums—how to get it right</w:t>
        </w:r>
      </w:hyperlink>
    </w:p>
    <w:p w14:paraId="424D7707" w14:textId="534E24B8" w:rsidR="00394235" w:rsidRPr="00BF6B8F" w:rsidRDefault="00CF1416" w:rsidP="0024030C">
      <w:pPr>
        <w:pStyle w:val="Resourcelist"/>
        <w:spacing w:after="120"/>
        <w:rPr>
          <w:rStyle w:val="Hyperlink"/>
          <w:rFonts w:ascii="Arial" w:hAnsi="Arial" w:cs="Arial"/>
          <w:color w:val="0000FF"/>
        </w:rPr>
      </w:pPr>
      <w:hyperlink r:id="rId169" w:history="1">
        <w:r w:rsidR="00394235" w:rsidRPr="00BF6B8F">
          <w:rPr>
            <w:rStyle w:val="Hyperlink"/>
            <w:rFonts w:ascii="Arial" w:hAnsi="Arial" w:cs="Arial"/>
            <w:color w:val="0000FF"/>
          </w:rPr>
          <w:t>Business.govt.nz: Performance appraisals</w:t>
        </w:r>
      </w:hyperlink>
    </w:p>
    <w:p w14:paraId="08D11494" w14:textId="4D52C3C1" w:rsidR="00394235" w:rsidRPr="00BF6B8F" w:rsidRDefault="00CF1416" w:rsidP="0024030C">
      <w:pPr>
        <w:pStyle w:val="Resourcelist"/>
        <w:spacing w:after="120"/>
        <w:rPr>
          <w:rStyle w:val="Hyperlink"/>
          <w:rFonts w:ascii="Arial" w:hAnsi="Arial" w:cs="Arial"/>
          <w:color w:val="0000FF"/>
        </w:rPr>
      </w:pPr>
      <w:hyperlink r:id="rId170" w:history="1">
        <w:r w:rsidR="00394235" w:rsidRPr="00BF6B8F">
          <w:rPr>
            <w:rStyle w:val="Hyperlink"/>
            <w:rFonts w:ascii="Arial" w:hAnsi="Arial" w:cs="Arial"/>
            <w:color w:val="0000FF"/>
          </w:rPr>
          <w:t>Healthy Practice (MAS)</w:t>
        </w:r>
      </w:hyperlink>
    </w:p>
    <w:p w14:paraId="30B6FC03" w14:textId="7D4A91E6" w:rsidR="00014227" w:rsidRDefault="00691C2A" w:rsidP="00691C2A">
      <w:pPr>
        <w:pStyle w:val="Resourcelist"/>
        <w:ind w:left="568"/>
        <w:rPr>
          <w:rStyle w:val="Hyperlink"/>
        </w:rPr>
      </w:pPr>
      <w:r>
        <w:rPr>
          <w:rStyle w:val="Hyperlink"/>
        </w:rPr>
        <w:t xml:space="preserve"> </w:t>
      </w:r>
    </w:p>
    <w:p w14:paraId="449A6D68" w14:textId="3252B910" w:rsidR="00014227" w:rsidRPr="000B4439" w:rsidRDefault="00014227" w:rsidP="00014227">
      <w:pPr>
        <w:pStyle w:val="Resourcelist"/>
        <w:ind w:left="720" w:hanging="360"/>
      </w:pPr>
    </w:p>
    <w:p w14:paraId="30D99342" w14:textId="64E0225A" w:rsidR="004C60BD" w:rsidRDefault="004C60BD" w:rsidP="00206F53">
      <w:pPr>
        <w:spacing w:after="0"/>
        <w:rPr>
          <w:b/>
          <w:color w:val="EE7624"/>
          <w:sz w:val="28"/>
        </w:rPr>
      </w:pPr>
    </w:p>
    <w:p w14:paraId="0592CE36" w14:textId="6BFFAFB8" w:rsidR="004C60BD" w:rsidRDefault="004C60BD">
      <w:pPr>
        <w:spacing w:after="0"/>
        <w:rPr>
          <w:b/>
          <w:color w:val="EE7624"/>
          <w:sz w:val="28"/>
        </w:rPr>
      </w:pPr>
      <w:r>
        <w:rPr>
          <w:b/>
          <w:color w:val="EE7624"/>
          <w:sz w:val="28"/>
        </w:rPr>
        <w:br w:type="page"/>
      </w:r>
    </w:p>
    <w:p w14:paraId="1EACC3CC" w14:textId="12ECC6A6" w:rsidR="004C60BD" w:rsidRDefault="004C60BD" w:rsidP="00206F53">
      <w:pPr>
        <w:spacing w:after="0"/>
        <w:rPr>
          <w:b/>
          <w:color w:val="EE7624"/>
          <w:sz w:val="28"/>
        </w:rPr>
      </w:pPr>
    </w:p>
    <w:p w14:paraId="0515B333" w14:textId="77777777" w:rsidR="00DE3B66" w:rsidRDefault="00DE3B66" w:rsidP="002C008E">
      <w:pPr>
        <w:pStyle w:val="Heading1"/>
      </w:pPr>
    </w:p>
    <w:p w14:paraId="050DCDEC" w14:textId="77777777" w:rsidR="00DE3B66" w:rsidRDefault="00DE3B66" w:rsidP="002C008E">
      <w:pPr>
        <w:pStyle w:val="Heading1"/>
      </w:pPr>
    </w:p>
    <w:p w14:paraId="375D2104" w14:textId="77777777" w:rsidR="00DE3B66" w:rsidRDefault="00DE3B66" w:rsidP="002C008E">
      <w:pPr>
        <w:pStyle w:val="Heading1"/>
      </w:pPr>
    </w:p>
    <w:p w14:paraId="46C23C55" w14:textId="77777777" w:rsidR="00DE3B66" w:rsidRDefault="00DE3B66" w:rsidP="002C008E">
      <w:pPr>
        <w:pStyle w:val="Heading1"/>
      </w:pPr>
    </w:p>
    <w:p w14:paraId="7799491E" w14:textId="77777777" w:rsidR="00DE3B66" w:rsidRDefault="00DE3B66" w:rsidP="002C008E">
      <w:pPr>
        <w:pStyle w:val="Heading1"/>
      </w:pPr>
    </w:p>
    <w:p w14:paraId="115A38A5" w14:textId="77777777" w:rsidR="00DE3B66" w:rsidRDefault="00DE3B66" w:rsidP="002C008E">
      <w:pPr>
        <w:pStyle w:val="Heading1"/>
      </w:pPr>
    </w:p>
    <w:p w14:paraId="0B0874EA" w14:textId="77777777" w:rsidR="00DE3B66" w:rsidRDefault="00DE3B66" w:rsidP="002C008E">
      <w:pPr>
        <w:pStyle w:val="Heading1"/>
      </w:pPr>
    </w:p>
    <w:p w14:paraId="06EF822E" w14:textId="77777777" w:rsidR="00DE3B66" w:rsidRDefault="00DE3B66" w:rsidP="002C008E">
      <w:pPr>
        <w:pStyle w:val="Heading1"/>
      </w:pPr>
    </w:p>
    <w:p w14:paraId="1A4E09B1" w14:textId="77777777" w:rsidR="00DE3B66" w:rsidRDefault="00DE3B66" w:rsidP="002C008E">
      <w:pPr>
        <w:pStyle w:val="Heading1"/>
      </w:pPr>
    </w:p>
    <w:p w14:paraId="6265EC10" w14:textId="2D61C1A1" w:rsidR="002C008E" w:rsidRDefault="002C008E" w:rsidP="002C008E">
      <w:pPr>
        <w:pStyle w:val="Heading1"/>
        <w:rPr>
          <w:b w:val="0"/>
        </w:rPr>
      </w:pPr>
      <w:bookmarkStart w:id="63" w:name="_Toc6998682"/>
      <w:r w:rsidRPr="000C6773">
        <w:t>Section</w:t>
      </w:r>
      <w:r w:rsidRPr="0055408F">
        <w:t xml:space="preserve"> </w:t>
      </w:r>
      <w:r w:rsidR="009E2235">
        <w:t>9</w:t>
      </w:r>
      <w:r>
        <w:t xml:space="preserve">: </w:t>
      </w:r>
      <w:r w:rsidR="00A50D31" w:rsidRPr="00A50D31">
        <w:rPr>
          <w:b w:val="0"/>
        </w:rPr>
        <w:t>Taputapu</w:t>
      </w:r>
      <w:r w:rsidRPr="0055408F">
        <w:rPr>
          <w:b w:val="0"/>
        </w:rPr>
        <w:t xml:space="preserve"> | </w:t>
      </w:r>
      <w:r w:rsidR="00A50D31">
        <w:rPr>
          <w:b w:val="0"/>
        </w:rPr>
        <w:t>Medical equipment and res</w:t>
      </w:r>
      <w:r w:rsidR="005615F1">
        <w:rPr>
          <w:b w:val="0"/>
        </w:rPr>
        <w:t>o</w:t>
      </w:r>
      <w:r w:rsidR="00A50D31">
        <w:rPr>
          <w:b w:val="0"/>
        </w:rPr>
        <w:t>urces</w:t>
      </w:r>
      <w:bookmarkEnd w:id="63"/>
    </w:p>
    <w:p w14:paraId="1DE97887" w14:textId="77777777" w:rsidR="002C008E" w:rsidRDefault="002C008E">
      <w:pPr>
        <w:spacing w:after="0"/>
        <w:rPr>
          <w:b/>
          <w:color w:val="EE7624"/>
          <w:sz w:val="28"/>
        </w:rPr>
      </w:pPr>
    </w:p>
    <w:p w14:paraId="404EB491" w14:textId="77777777" w:rsidR="002C008E" w:rsidRDefault="002C008E">
      <w:pPr>
        <w:spacing w:after="0"/>
        <w:rPr>
          <w:b/>
          <w:color w:val="EE7624"/>
          <w:sz w:val="28"/>
        </w:rPr>
      </w:pPr>
    </w:p>
    <w:p w14:paraId="7F06DE39" w14:textId="77777777" w:rsidR="002C008E" w:rsidRDefault="002C008E">
      <w:pPr>
        <w:spacing w:after="0"/>
        <w:rPr>
          <w:b/>
          <w:color w:val="EE7624"/>
          <w:sz w:val="28"/>
        </w:rPr>
      </w:pPr>
      <w:r>
        <w:rPr>
          <w:b/>
          <w:color w:val="EE7624"/>
          <w:sz w:val="28"/>
        </w:rPr>
        <w:br w:type="page"/>
      </w:r>
    </w:p>
    <w:p w14:paraId="75EB8253" w14:textId="62556FF5" w:rsidR="00881BEF" w:rsidRPr="00C55F31" w:rsidRDefault="005615F1" w:rsidP="008D486E">
      <w:pPr>
        <w:pStyle w:val="HHLSubHeading"/>
        <w:numPr>
          <w:ilvl w:val="0"/>
          <w:numId w:val="0"/>
        </w:numPr>
        <w:tabs>
          <w:tab w:val="left" w:pos="1560"/>
        </w:tabs>
      </w:pPr>
      <w:bookmarkStart w:id="64" w:name="_Toc6998683"/>
      <w:r w:rsidRPr="00C55F31">
        <w:lastRenderedPageBreak/>
        <w:t xml:space="preserve">Indicator </w:t>
      </w:r>
      <w:r w:rsidR="005F2BB4" w:rsidRPr="00C55F31">
        <w:t>2</w:t>
      </w:r>
      <w:r w:rsidR="00C447AF">
        <w:t>2</w:t>
      </w:r>
      <w:r w:rsidRPr="00C55F31">
        <w:t>.</w:t>
      </w:r>
      <w:r w:rsidR="008D486E">
        <w:tab/>
      </w:r>
      <w:r w:rsidR="00881BEF" w:rsidRPr="00C55F31">
        <w:t xml:space="preserve">Medical equipment and </w:t>
      </w:r>
      <w:r w:rsidR="00573E02" w:rsidRPr="00C55F31">
        <w:t>medicines</w:t>
      </w:r>
      <w:bookmarkEnd w:id="64"/>
    </w:p>
    <w:p w14:paraId="5A35432C" w14:textId="62190BEE" w:rsidR="005615F1" w:rsidRPr="00881BEF" w:rsidRDefault="005615F1" w:rsidP="00881BEF">
      <w:pPr>
        <w:pStyle w:val="HHLBodyText"/>
        <w:rPr>
          <w:b/>
        </w:rPr>
      </w:pPr>
      <w:r w:rsidRPr="00881BEF">
        <w:rPr>
          <w:b/>
        </w:rPr>
        <w:t>Our practice</w:t>
      </w:r>
      <w:r w:rsidR="00343C3E" w:rsidRPr="00881BEF">
        <w:rPr>
          <w:b/>
        </w:rPr>
        <w:t xml:space="preserve"> keeps and maintains routine and emergency medical equipment and medicines.</w:t>
      </w:r>
    </w:p>
    <w:tbl>
      <w:tblPr>
        <w:tblStyle w:val="TableGrid1"/>
        <w:tblW w:w="0" w:type="auto"/>
        <w:tblLook w:val="04A0" w:firstRow="1" w:lastRow="0" w:firstColumn="1" w:lastColumn="0" w:noHBand="0" w:noVBand="1"/>
      </w:tblPr>
      <w:tblGrid>
        <w:gridCol w:w="1152"/>
        <w:gridCol w:w="4539"/>
        <w:gridCol w:w="4051"/>
      </w:tblGrid>
      <w:tr w:rsidR="005615F1" w:rsidRPr="00A81435" w14:paraId="6E1AE2AB" w14:textId="77777777" w:rsidTr="00BE3E6D">
        <w:tc>
          <w:tcPr>
            <w:tcW w:w="1153" w:type="dxa"/>
            <w:shd w:val="clear" w:color="auto" w:fill="FBD4B4" w:themeFill="accent6" w:themeFillTint="66"/>
          </w:tcPr>
          <w:p w14:paraId="485ED5B6" w14:textId="77777777" w:rsidR="005615F1" w:rsidRPr="00A81435" w:rsidRDefault="005615F1" w:rsidP="0091781A">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79398214" w14:textId="77777777" w:rsidR="005615F1" w:rsidRPr="00A81435" w:rsidRDefault="005615F1" w:rsidP="0091781A">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2E4026BD" w14:textId="48202AE9" w:rsidR="005615F1" w:rsidRPr="00A81435" w:rsidRDefault="005615F1" w:rsidP="0091781A">
            <w:pPr>
              <w:spacing w:before="120" w:after="120"/>
              <w:rPr>
                <w:b/>
                <w:color w:val="auto"/>
                <w:sz w:val="22"/>
                <w:szCs w:val="22"/>
              </w:rPr>
            </w:pPr>
            <w:r w:rsidRPr="00A81435">
              <w:rPr>
                <w:b/>
                <w:color w:val="auto"/>
                <w:sz w:val="22"/>
                <w:szCs w:val="22"/>
              </w:rPr>
              <w:t>Required evidence</w:t>
            </w:r>
          </w:p>
        </w:tc>
      </w:tr>
      <w:tr w:rsidR="00B27D67" w:rsidRPr="00A81435" w14:paraId="7044C154" w14:textId="77777777" w:rsidTr="00BE3E6D">
        <w:tc>
          <w:tcPr>
            <w:tcW w:w="1153" w:type="dxa"/>
          </w:tcPr>
          <w:p w14:paraId="1876BB4D" w14:textId="498E83B8" w:rsidR="00B27D67" w:rsidRPr="00A81435" w:rsidRDefault="00B27D67" w:rsidP="0091781A">
            <w:pPr>
              <w:spacing w:before="60"/>
              <w:rPr>
                <w:color w:val="auto"/>
                <w:sz w:val="22"/>
                <w:szCs w:val="22"/>
              </w:rPr>
            </w:pPr>
            <w:r>
              <w:rPr>
                <w:color w:val="auto"/>
                <w:sz w:val="22"/>
                <w:szCs w:val="22"/>
              </w:rPr>
              <w:t>22</w:t>
            </w:r>
            <w:r w:rsidRPr="00A81435">
              <w:rPr>
                <w:color w:val="auto"/>
                <w:sz w:val="22"/>
                <w:szCs w:val="22"/>
              </w:rPr>
              <w:t>.1</w:t>
            </w:r>
          </w:p>
        </w:tc>
        <w:tc>
          <w:tcPr>
            <w:tcW w:w="4568" w:type="dxa"/>
          </w:tcPr>
          <w:p w14:paraId="6F1C7F9E" w14:textId="36C3FD15" w:rsidR="00B27D67" w:rsidRPr="001B1164" w:rsidRDefault="00025546" w:rsidP="00E75368">
            <w:pPr>
              <w:tabs>
                <w:tab w:val="left" w:pos="151"/>
              </w:tabs>
              <w:spacing w:before="60"/>
              <w:rPr>
                <w:rFonts w:cs="Arial"/>
                <w:color w:val="auto"/>
                <w:sz w:val="22"/>
                <w:szCs w:val="22"/>
              </w:rPr>
            </w:pPr>
            <w:r>
              <w:rPr>
                <w:rFonts w:cs="Arial"/>
                <w:color w:val="auto"/>
                <w:sz w:val="22"/>
                <w:szCs w:val="22"/>
              </w:rPr>
              <w:t>Ensure</w:t>
            </w:r>
            <w:r w:rsidR="00B27D67" w:rsidRPr="001B1164">
              <w:rPr>
                <w:rFonts w:cs="Arial"/>
                <w:color w:val="auto"/>
                <w:sz w:val="22"/>
                <w:szCs w:val="22"/>
              </w:rPr>
              <w:t xml:space="preserve"> the practice </w:t>
            </w:r>
            <w:r>
              <w:rPr>
                <w:rFonts w:cs="Arial"/>
                <w:color w:val="auto"/>
                <w:sz w:val="22"/>
                <w:szCs w:val="22"/>
              </w:rPr>
              <w:t xml:space="preserve">has available </w:t>
            </w:r>
            <w:r w:rsidR="00B27D67" w:rsidRPr="001B1164">
              <w:rPr>
                <w:rFonts w:cs="Arial"/>
                <w:color w:val="auto"/>
                <w:sz w:val="22"/>
                <w:szCs w:val="22"/>
              </w:rPr>
              <w:t xml:space="preserve">equipment </w:t>
            </w:r>
            <w:r w:rsidR="00B27D67">
              <w:rPr>
                <w:rFonts w:cs="Arial"/>
                <w:color w:val="auto"/>
                <w:sz w:val="22"/>
                <w:szCs w:val="22"/>
              </w:rPr>
              <w:t xml:space="preserve">and medicines </w:t>
            </w:r>
            <w:r w:rsidR="00B27D67" w:rsidRPr="001B1164">
              <w:rPr>
                <w:rFonts w:cs="Arial"/>
                <w:color w:val="auto"/>
                <w:sz w:val="22"/>
                <w:szCs w:val="22"/>
              </w:rPr>
              <w:t>specified Appendix 1</w:t>
            </w:r>
            <w:r w:rsidR="00B27D67">
              <w:rPr>
                <w:rFonts w:cs="Arial"/>
                <w:color w:val="auto"/>
                <w:sz w:val="22"/>
                <w:szCs w:val="22"/>
              </w:rPr>
              <w:t>.</w:t>
            </w:r>
          </w:p>
        </w:tc>
        <w:tc>
          <w:tcPr>
            <w:tcW w:w="4075" w:type="dxa"/>
          </w:tcPr>
          <w:p w14:paraId="3358C9DC" w14:textId="6A2F7F5C" w:rsidR="00B27D67" w:rsidRPr="00A81435" w:rsidRDefault="00B27D67" w:rsidP="00BE3E6D">
            <w:pPr>
              <w:pStyle w:val="CommentText"/>
              <w:rPr>
                <w:color w:val="auto"/>
                <w:sz w:val="22"/>
                <w:szCs w:val="22"/>
              </w:rPr>
            </w:pPr>
            <w:r>
              <w:rPr>
                <w:color w:val="auto"/>
                <w:sz w:val="22"/>
                <w:szCs w:val="22"/>
              </w:rPr>
              <w:t>Required equipment and medicines are available.</w:t>
            </w:r>
          </w:p>
        </w:tc>
      </w:tr>
      <w:tr w:rsidR="00615266" w:rsidRPr="00A81435" w14:paraId="7A42F3BF" w14:textId="77777777" w:rsidTr="00BE3E6D">
        <w:tc>
          <w:tcPr>
            <w:tcW w:w="1153" w:type="dxa"/>
          </w:tcPr>
          <w:p w14:paraId="79BEB7B3" w14:textId="2C2555F5" w:rsidR="00615266" w:rsidRPr="00B21354" w:rsidRDefault="00615266" w:rsidP="00615266">
            <w:pPr>
              <w:spacing w:before="60"/>
              <w:rPr>
                <w:color w:val="auto"/>
                <w:sz w:val="22"/>
                <w:szCs w:val="22"/>
              </w:rPr>
            </w:pPr>
            <w:r>
              <w:rPr>
                <w:color w:val="auto"/>
                <w:sz w:val="22"/>
                <w:szCs w:val="22"/>
              </w:rPr>
              <w:t>22.</w:t>
            </w:r>
            <w:r w:rsidR="006C0505">
              <w:rPr>
                <w:color w:val="auto"/>
                <w:sz w:val="22"/>
                <w:szCs w:val="22"/>
              </w:rPr>
              <w:t>2</w:t>
            </w:r>
          </w:p>
        </w:tc>
        <w:tc>
          <w:tcPr>
            <w:tcW w:w="4568" w:type="dxa"/>
          </w:tcPr>
          <w:p w14:paraId="249A40BF" w14:textId="4C0ABD87" w:rsidR="00615266" w:rsidRPr="00F56EFB" w:rsidRDefault="00025546" w:rsidP="00615266">
            <w:pPr>
              <w:tabs>
                <w:tab w:val="left" w:pos="151"/>
              </w:tabs>
              <w:spacing w:before="60"/>
              <w:rPr>
                <w:rFonts w:cs="Arial"/>
                <w:color w:val="auto"/>
                <w:sz w:val="22"/>
                <w:szCs w:val="22"/>
              </w:rPr>
            </w:pPr>
            <w:r>
              <w:rPr>
                <w:rFonts w:cs="Arial"/>
                <w:color w:val="auto"/>
                <w:sz w:val="22"/>
                <w:szCs w:val="22"/>
              </w:rPr>
              <w:t xml:space="preserve">Ensure </w:t>
            </w:r>
            <w:r w:rsidR="00F30D38">
              <w:rPr>
                <w:rFonts w:cs="Arial"/>
                <w:color w:val="auto"/>
                <w:sz w:val="22"/>
                <w:szCs w:val="22"/>
              </w:rPr>
              <w:t xml:space="preserve">all medical equipment </w:t>
            </w:r>
            <w:r w:rsidR="003D32AA">
              <w:rPr>
                <w:rFonts w:cs="Arial"/>
                <w:color w:val="auto"/>
                <w:sz w:val="22"/>
                <w:szCs w:val="22"/>
              </w:rPr>
              <w:t xml:space="preserve">is </w:t>
            </w:r>
            <w:r w:rsidR="00F30D38">
              <w:rPr>
                <w:rFonts w:cs="Arial"/>
                <w:color w:val="auto"/>
                <w:sz w:val="22"/>
                <w:szCs w:val="22"/>
              </w:rPr>
              <w:t>serviced</w:t>
            </w:r>
            <w:r w:rsidR="009E557B">
              <w:rPr>
                <w:rFonts w:cs="Arial"/>
                <w:color w:val="auto"/>
                <w:sz w:val="22"/>
                <w:szCs w:val="22"/>
              </w:rPr>
              <w:t>, calibrated</w:t>
            </w:r>
            <w:r w:rsidR="00F30D38">
              <w:rPr>
                <w:rFonts w:cs="Arial"/>
                <w:color w:val="auto"/>
                <w:sz w:val="22"/>
                <w:szCs w:val="22"/>
              </w:rPr>
              <w:t xml:space="preserve"> and verified </w:t>
            </w:r>
            <w:r w:rsidR="00C80464">
              <w:rPr>
                <w:rFonts w:cs="Arial"/>
                <w:color w:val="auto"/>
                <w:sz w:val="22"/>
                <w:szCs w:val="22"/>
              </w:rPr>
              <w:t>annually</w:t>
            </w:r>
            <w:r w:rsidR="00F30D38">
              <w:rPr>
                <w:rFonts w:cs="Arial"/>
                <w:color w:val="auto"/>
                <w:sz w:val="22"/>
                <w:szCs w:val="22"/>
              </w:rPr>
              <w:t>.</w:t>
            </w:r>
          </w:p>
        </w:tc>
        <w:tc>
          <w:tcPr>
            <w:tcW w:w="4075" w:type="dxa"/>
          </w:tcPr>
          <w:p w14:paraId="4CB29675" w14:textId="20269470" w:rsidR="00615266" w:rsidRPr="00B21354" w:rsidRDefault="00025546" w:rsidP="00BE3E6D">
            <w:pPr>
              <w:spacing w:before="60"/>
              <w:rPr>
                <w:color w:val="auto"/>
                <w:sz w:val="22"/>
                <w:szCs w:val="22"/>
              </w:rPr>
            </w:pPr>
            <w:r>
              <w:rPr>
                <w:color w:val="auto"/>
                <w:sz w:val="22"/>
                <w:szCs w:val="22"/>
                <w:lang w:val="en-NZ"/>
              </w:rPr>
              <w:t xml:space="preserve">Documented </w:t>
            </w:r>
            <w:r w:rsidR="00615266">
              <w:rPr>
                <w:color w:val="auto"/>
                <w:sz w:val="22"/>
                <w:szCs w:val="22"/>
                <w:lang w:val="en-NZ"/>
              </w:rPr>
              <w:t>annual servicing</w:t>
            </w:r>
            <w:r>
              <w:rPr>
                <w:color w:val="auto"/>
                <w:sz w:val="22"/>
                <w:szCs w:val="22"/>
                <w:lang w:val="en-NZ"/>
              </w:rPr>
              <w:t>,</w:t>
            </w:r>
            <w:r w:rsidR="003731A7">
              <w:rPr>
                <w:color w:val="auto"/>
                <w:sz w:val="22"/>
                <w:szCs w:val="22"/>
                <w:lang w:val="en-NZ"/>
              </w:rPr>
              <w:t xml:space="preserve"> </w:t>
            </w:r>
            <w:r w:rsidR="00615266">
              <w:rPr>
                <w:color w:val="auto"/>
                <w:sz w:val="22"/>
                <w:szCs w:val="22"/>
                <w:lang w:val="en-NZ"/>
              </w:rPr>
              <w:t>calibration</w:t>
            </w:r>
            <w:r>
              <w:rPr>
                <w:color w:val="auto"/>
                <w:sz w:val="22"/>
                <w:szCs w:val="22"/>
                <w:lang w:val="en-NZ"/>
              </w:rPr>
              <w:t xml:space="preserve"> and remedial work as require</w:t>
            </w:r>
            <w:r w:rsidR="00BE3E6D">
              <w:rPr>
                <w:color w:val="auto"/>
                <w:sz w:val="22"/>
                <w:szCs w:val="22"/>
                <w:lang w:val="en-NZ"/>
              </w:rPr>
              <w:t>d.</w:t>
            </w:r>
            <w:r>
              <w:rPr>
                <w:color w:val="auto"/>
                <w:sz w:val="22"/>
                <w:szCs w:val="22"/>
                <w:lang w:val="en-NZ"/>
              </w:rPr>
              <w:t xml:space="preserve"> </w:t>
            </w:r>
          </w:p>
        </w:tc>
      </w:tr>
      <w:tr w:rsidR="00615266" w:rsidRPr="00A81435" w14:paraId="088DA9DC" w14:textId="77777777" w:rsidTr="00BE3E6D">
        <w:tc>
          <w:tcPr>
            <w:tcW w:w="1153" w:type="dxa"/>
          </w:tcPr>
          <w:p w14:paraId="73340CDF" w14:textId="5A384388" w:rsidR="00615266" w:rsidRPr="00B21354" w:rsidRDefault="00615266" w:rsidP="00615266">
            <w:pPr>
              <w:spacing w:before="60"/>
              <w:rPr>
                <w:color w:val="auto"/>
                <w:sz w:val="22"/>
                <w:szCs w:val="22"/>
              </w:rPr>
            </w:pPr>
            <w:r>
              <w:rPr>
                <w:color w:val="auto"/>
                <w:sz w:val="22"/>
                <w:szCs w:val="22"/>
              </w:rPr>
              <w:t>22.</w:t>
            </w:r>
            <w:r w:rsidR="001D2BCC">
              <w:rPr>
                <w:color w:val="auto"/>
                <w:sz w:val="22"/>
                <w:szCs w:val="22"/>
              </w:rPr>
              <w:t>3</w:t>
            </w:r>
          </w:p>
        </w:tc>
        <w:tc>
          <w:tcPr>
            <w:tcW w:w="4568" w:type="dxa"/>
          </w:tcPr>
          <w:p w14:paraId="2EDEB156" w14:textId="79F2858D" w:rsidR="00615266" w:rsidRPr="00F56EFB" w:rsidRDefault="00025546" w:rsidP="00615266">
            <w:pPr>
              <w:tabs>
                <w:tab w:val="left" w:pos="151"/>
              </w:tabs>
              <w:spacing w:before="60"/>
              <w:rPr>
                <w:rFonts w:cs="Arial"/>
                <w:color w:val="auto"/>
                <w:sz w:val="22"/>
                <w:szCs w:val="22"/>
              </w:rPr>
            </w:pPr>
            <w:r>
              <w:rPr>
                <w:rFonts w:cs="Arial"/>
                <w:color w:val="auto"/>
                <w:sz w:val="22"/>
                <w:szCs w:val="22"/>
              </w:rPr>
              <w:t>Ensure stock levels are r</w:t>
            </w:r>
            <w:r w:rsidR="00615266" w:rsidRPr="00F56EFB">
              <w:rPr>
                <w:rFonts w:cs="Arial"/>
                <w:color w:val="auto"/>
                <w:sz w:val="22"/>
                <w:szCs w:val="22"/>
              </w:rPr>
              <w:t>outinely check</w:t>
            </w:r>
            <w:r>
              <w:rPr>
                <w:rFonts w:cs="Arial"/>
                <w:color w:val="auto"/>
                <w:sz w:val="22"/>
                <w:szCs w:val="22"/>
              </w:rPr>
              <w:t>ed</w:t>
            </w:r>
            <w:r w:rsidR="00615266" w:rsidRPr="00F56EFB">
              <w:rPr>
                <w:rFonts w:cs="Arial"/>
                <w:color w:val="auto"/>
                <w:sz w:val="22"/>
                <w:szCs w:val="22"/>
              </w:rPr>
              <w:t xml:space="preserve"> </w:t>
            </w:r>
            <w:r w:rsidR="003731A7">
              <w:rPr>
                <w:rFonts w:cs="Arial"/>
                <w:color w:val="auto"/>
                <w:sz w:val="22"/>
                <w:szCs w:val="22"/>
              </w:rPr>
              <w:t xml:space="preserve">and </w:t>
            </w:r>
            <w:r w:rsidR="00615266" w:rsidRPr="00F56EFB">
              <w:rPr>
                <w:rFonts w:cs="Arial"/>
                <w:color w:val="auto"/>
                <w:sz w:val="22"/>
                <w:szCs w:val="22"/>
              </w:rPr>
              <w:t>expiry dates of all medicines</w:t>
            </w:r>
            <w:r>
              <w:rPr>
                <w:rFonts w:cs="Arial"/>
                <w:color w:val="auto"/>
                <w:sz w:val="22"/>
                <w:szCs w:val="22"/>
              </w:rPr>
              <w:t xml:space="preserve"> are documented and monitored</w:t>
            </w:r>
            <w:r w:rsidR="00615266" w:rsidRPr="00F56EFB">
              <w:rPr>
                <w:rFonts w:cs="Arial"/>
                <w:color w:val="auto"/>
                <w:sz w:val="22"/>
                <w:szCs w:val="22"/>
              </w:rPr>
              <w:t>.</w:t>
            </w:r>
          </w:p>
        </w:tc>
        <w:tc>
          <w:tcPr>
            <w:tcW w:w="4075" w:type="dxa"/>
          </w:tcPr>
          <w:p w14:paraId="3046007E" w14:textId="49A5F481" w:rsidR="00615266" w:rsidRPr="00B21354" w:rsidRDefault="00025546" w:rsidP="00BE3E6D">
            <w:pPr>
              <w:spacing w:before="60"/>
              <w:rPr>
                <w:color w:val="auto"/>
                <w:sz w:val="22"/>
                <w:szCs w:val="22"/>
              </w:rPr>
            </w:pPr>
            <w:r w:rsidRPr="00615266">
              <w:rPr>
                <w:color w:val="auto"/>
                <w:sz w:val="22"/>
                <w:szCs w:val="22"/>
              </w:rPr>
              <w:t>Document</w:t>
            </w:r>
            <w:r>
              <w:rPr>
                <w:color w:val="auto"/>
                <w:sz w:val="22"/>
                <w:szCs w:val="22"/>
              </w:rPr>
              <w:t>ed</w:t>
            </w:r>
            <w:r w:rsidRPr="00615266">
              <w:rPr>
                <w:color w:val="auto"/>
                <w:sz w:val="22"/>
                <w:szCs w:val="22"/>
              </w:rPr>
              <w:t xml:space="preserve"> </w:t>
            </w:r>
            <w:r w:rsidR="003731A7">
              <w:rPr>
                <w:color w:val="auto"/>
                <w:sz w:val="22"/>
                <w:szCs w:val="22"/>
              </w:rPr>
              <w:t xml:space="preserve">checking of all </w:t>
            </w:r>
            <w:r w:rsidR="00615266">
              <w:rPr>
                <w:color w:val="auto"/>
                <w:sz w:val="22"/>
                <w:szCs w:val="22"/>
              </w:rPr>
              <w:t>stock leve</w:t>
            </w:r>
            <w:r>
              <w:rPr>
                <w:color w:val="auto"/>
                <w:sz w:val="22"/>
                <w:szCs w:val="22"/>
              </w:rPr>
              <w:t>ls</w:t>
            </w:r>
            <w:r w:rsidR="003731A7">
              <w:rPr>
                <w:color w:val="auto"/>
                <w:sz w:val="22"/>
                <w:szCs w:val="22"/>
              </w:rPr>
              <w:t xml:space="preserve"> and </w:t>
            </w:r>
            <w:r>
              <w:rPr>
                <w:color w:val="auto"/>
                <w:sz w:val="22"/>
                <w:szCs w:val="22"/>
              </w:rPr>
              <w:t>expiry dates</w:t>
            </w:r>
            <w:r w:rsidR="003731A7">
              <w:rPr>
                <w:color w:val="auto"/>
                <w:sz w:val="22"/>
                <w:szCs w:val="22"/>
              </w:rPr>
              <w:t xml:space="preserve"> at a practice agreed frequency.</w:t>
            </w:r>
            <w:r>
              <w:rPr>
                <w:color w:val="auto"/>
                <w:sz w:val="22"/>
                <w:szCs w:val="22"/>
              </w:rPr>
              <w:t xml:space="preserve"> </w:t>
            </w:r>
          </w:p>
        </w:tc>
      </w:tr>
      <w:tr w:rsidR="00615266" w:rsidRPr="00A81435" w14:paraId="4075CD61" w14:textId="77777777" w:rsidTr="00BE3E6D">
        <w:tc>
          <w:tcPr>
            <w:tcW w:w="1153" w:type="dxa"/>
          </w:tcPr>
          <w:p w14:paraId="051EE302" w14:textId="77777777" w:rsidR="00615266" w:rsidRDefault="00615266" w:rsidP="00615266">
            <w:pPr>
              <w:spacing w:before="60"/>
              <w:rPr>
                <w:color w:val="auto"/>
                <w:sz w:val="22"/>
                <w:szCs w:val="22"/>
              </w:rPr>
            </w:pPr>
            <w:r>
              <w:rPr>
                <w:color w:val="auto"/>
                <w:sz w:val="22"/>
                <w:szCs w:val="22"/>
              </w:rPr>
              <w:t>22.</w:t>
            </w:r>
            <w:r w:rsidR="001D2BCC">
              <w:rPr>
                <w:color w:val="auto"/>
                <w:sz w:val="22"/>
                <w:szCs w:val="22"/>
              </w:rPr>
              <w:t>4</w:t>
            </w:r>
          </w:p>
          <w:p w14:paraId="79BF426B" w14:textId="39F19CF3" w:rsidR="003731A7" w:rsidRPr="003731A7" w:rsidRDefault="003731A7" w:rsidP="003731A7">
            <w:pPr>
              <w:rPr>
                <w:sz w:val="22"/>
                <w:szCs w:val="22"/>
              </w:rPr>
            </w:pPr>
          </w:p>
        </w:tc>
        <w:tc>
          <w:tcPr>
            <w:tcW w:w="4568" w:type="dxa"/>
          </w:tcPr>
          <w:p w14:paraId="39640087" w14:textId="448C8E0B" w:rsidR="00615266" w:rsidRPr="00F56EFB" w:rsidRDefault="00615266" w:rsidP="00615266">
            <w:pPr>
              <w:tabs>
                <w:tab w:val="left" w:pos="151"/>
              </w:tabs>
              <w:spacing w:before="60"/>
              <w:rPr>
                <w:rFonts w:cs="Arial"/>
                <w:color w:val="auto"/>
                <w:sz w:val="22"/>
                <w:szCs w:val="22"/>
              </w:rPr>
            </w:pPr>
            <w:r w:rsidRPr="00F56EFB">
              <w:rPr>
                <w:rFonts w:cs="Arial"/>
                <w:color w:val="auto"/>
                <w:sz w:val="22"/>
                <w:szCs w:val="22"/>
              </w:rPr>
              <w:t>Ensure medicines are secured and out of reach by unauthorised people</w:t>
            </w:r>
            <w:r w:rsidR="00025546">
              <w:rPr>
                <w:rFonts w:cs="Arial"/>
                <w:color w:val="auto"/>
                <w:sz w:val="22"/>
                <w:szCs w:val="22"/>
              </w:rPr>
              <w:t>.</w:t>
            </w:r>
          </w:p>
        </w:tc>
        <w:tc>
          <w:tcPr>
            <w:tcW w:w="4075" w:type="dxa"/>
          </w:tcPr>
          <w:p w14:paraId="4C75060C" w14:textId="216566B2" w:rsidR="00615266" w:rsidRPr="003731A7" w:rsidRDefault="00025546">
            <w:pPr>
              <w:spacing w:before="60"/>
              <w:rPr>
                <w:color w:val="auto"/>
                <w:sz w:val="22"/>
                <w:szCs w:val="22"/>
              </w:rPr>
            </w:pPr>
            <w:r w:rsidRPr="003731A7">
              <w:rPr>
                <w:color w:val="auto"/>
                <w:sz w:val="22"/>
                <w:szCs w:val="22"/>
                <w:lang w:val="en-NZ"/>
              </w:rPr>
              <w:t>Demonstrate medicines are secured and out of reach from unauthorised persons</w:t>
            </w:r>
            <w:r w:rsidR="003731A7" w:rsidRPr="003731A7">
              <w:rPr>
                <w:color w:val="auto"/>
                <w:sz w:val="22"/>
                <w:szCs w:val="22"/>
                <w:lang w:val="en-NZ"/>
              </w:rPr>
              <w:t>.</w:t>
            </w:r>
          </w:p>
        </w:tc>
      </w:tr>
      <w:tr w:rsidR="00615266" w:rsidRPr="00A81435" w14:paraId="0A8808D7" w14:textId="77777777" w:rsidTr="00BE3E6D">
        <w:tc>
          <w:tcPr>
            <w:tcW w:w="1153" w:type="dxa"/>
          </w:tcPr>
          <w:p w14:paraId="359A99C3" w14:textId="1D0D3C32" w:rsidR="00615266" w:rsidRPr="00B21354" w:rsidRDefault="00615266" w:rsidP="00615266">
            <w:pPr>
              <w:spacing w:before="60"/>
              <w:rPr>
                <w:color w:val="auto"/>
                <w:sz w:val="22"/>
                <w:szCs w:val="22"/>
              </w:rPr>
            </w:pPr>
            <w:r>
              <w:rPr>
                <w:color w:val="auto"/>
                <w:sz w:val="22"/>
                <w:szCs w:val="22"/>
              </w:rPr>
              <w:t>22.</w:t>
            </w:r>
            <w:r w:rsidR="001D2BCC">
              <w:rPr>
                <w:color w:val="auto"/>
                <w:sz w:val="22"/>
                <w:szCs w:val="22"/>
              </w:rPr>
              <w:t>5</w:t>
            </w:r>
          </w:p>
        </w:tc>
        <w:tc>
          <w:tcPr>
            <w:tcW w:w="4568" w:type="dxa"/>
          </w:tcPr>
          <w:p w14:paraId="07098C09" w14:textId="5FE38ACA" w:rsidR="00615266" w:rsidRPr="00F56EFB" w:rsidRDefault="00025546" w:rsidP="00615266">
            <w:pPr>
              <w:tabs>
                <w:tab w:val="left" w:pos="151"/>
              </w:tabs>
              <w:spacing w:before="60"/>
              <w:rPr>
                <w:rFonts w:cs="Arial"/>
                <w:color w:val="auto"/>
                <w:sz w:val="22"/>
                <w:szCs w:val="22"/>
              </w:rPr>
            </w:pPr>
            <w:r>
              <w:rPr>
                <w:rFonts w:cs="Arial"/>
                <w:color w:val="auto"/>
                <w:sz w:val="22"/>
                <w:szCs w:val="22"/>
              </w:rPr>
              <w:t>Ensure</w:t>
            </w:r>
            <w:r w:rsidRPr="00F56EFB">
              <w:rPr>
                <w:rFonts w:cs="Arial"/>
                <w:color w:val="auto"/>
                <w:sz w:val="22"/>
                <w:szCs w:val="22"/>
              </w:rPr>
              <w:t xml:space="preserve"> </w:t>
            </w:r>
            <w:r w:rsidR="00565DF4" w:rsidRPr="00F56EFB">
              <w:rPr>
                <w:rFonts w:cs="Arial"/>
                <w:color w:val="auto"/>
                <w:sz w:val="22"/>
                <w:szCs w:val="22"/>
              </w:rPr>
              <w:t xml:space="preserve">portable emergency equipment </w:t>
            </w:r>
            <w:r w:rsidR="00565DF4">
              <w:rPr>
                <w:rFonts w:cs="Arial"/>
                <w:color w:val="auto"/>
                <w:sz w:val="22"/>
                <w:szCs w:val="22"/>
              </w:rPr>
              <w:t>including emergency medicines, specified in Appendix 1,</w:t>
            </w:r>
            <w:r w:rsidR="00565DF4" w:rsidRPr="00F56EFB">
              <w:rPr>
                <w:rFonts w:cs="Arial"/>
                <w:color w:val="auto"/>
                <w:sz w:val="22"/>
                <w:szCs w:val="22"/>
              </w:rPr>
              <w:t xml:space="preserve"> </w:t>
            </w:r>
            <w:r>
              <w:rPr>
                <w:rFonts w:cs="Arial"/>
                <w:color w:val="auto"/>
                <w:sz w:val="22"/>
                <w:szCs w:val="22"/>
              </w:rPr>
              <w:t xml:space="preserve">are stored </w:t>
            </w:r>
            <w:r w:rsidR="00565DF4" w:rsidRPr="00F56EFB">
              <w:rPr>
                <w:rFonts w:cs="Arial"/>
                <w:color w:val="auto"/>
                <w:sz w:val="22"/>
                <w:szCs w:val="22"/>
              </w:rPr>
              <w:t>in a single secure</w:t>
            </w:r>
            <w:r w:rsidR="00294351">
              <w:rPr>
                <w:rFonts w:cs="Arial"/>
                <w:color w:val="auto"/>
                <w:sz w:val="22"/>
                <w:szCs w:val="22"/>
              </w:rPr>
              <w:t xml:space="preserve">, but readily accessible to </w:t>
            </w:r>
            <w:r>
              <w:rPr>
                <w:rFonts w:cs="Arial"/>
                <w:color w:val="auto"/>
                <w:sz w:val="22"/>
                <w:szCs w:val="22"/>
              </w:rPr>
              <w:t xml:space="preserve">all </w:t>
            </w:r>
            <w:r w:rsidR="00294351">
              <w:rPr>
                <w:rFonts w:cs="Arial"/>
                <w:color w:val="auto"/>
                <w:sz w:val="22"/>
                <w:szCs w:val="22"/>
              </w:rPr>
              <w:t>clinicians</w:t>
            </w:r>
            <w:r>
              <w:rPr>
                <w:rFonts w:cs="Arial"/>
                <w:color w:val="auto"/>
                <w:sz w:val="22"/>
                <w:szCs w:val="22"/>
              </w:rPr>
              <w:t xml:space="preserve">. </w:t>
            </w:r>
          </w:p>
        </w:tc>
        <w:tc>
          <w:tcPr>
            <w:tcW w:w="4075" w:type="dxa"/>
          </w:tcPr>
          <w:p w14:paraId="542C13F7" w14:textId="357C499F" w:rsidR="00025546" w:rsidRPr="003731A7" w:rsidRDefault="00025546" w:rsidP="00BE3E6D">
            <w:pPr>
              <w:spacing w:before="60"/>
              <w:rPr>
                <w:color w:val="auto"/>
                <w:sz w:val="22"/>
                <w:szCs w:val="22"/>
                <w:lang w:val="en-NZ"/>
              </w:rPr>
            </w:pPr>
            <w:r w:rsidRPr="003731A7">
              <w:rPr>
                <w:color w:val="auto"/>
                <w:sz w:val="22"/>
                <w:szCs w:val="22"/>
                <w:lang w:val="en-NZ"/>
              </w:rPr>
              <w:t>Demonstrate emergency equipment / medicines are store</w:t>
            </w:r>
            <w:r w:rsidR="003731A7" w:rsidRPr="003731A7">
              <w:rPr>
                <w:color w:val="auto"/>
                <w:sz w:val="22"/>
                <w:szCs w:val="22"/>
                <w:lang w:val="en-NZ"/>
              </w:rPr>
              <w:t>d</w:t>
            </w:r>
            <w:r w:rsidRPr="003731A7">
              <w:rPr>
                <w:color w:val="auto"/>
                <w:sz w:val="22"/>
                <w:szCs w:val="22"/>
                <w:lang w:val="en-NZ"/>
              </w:rPr>
              <w:t xml:space="preserve"> in a single, </w:t>
            </w:r>
            <w:r w:rsidR="003731A7" w:rsidRPr="003731A7">
              <w:rPr>
                <w:color w:val="auto"/>
                <w:sz w:val="22"/>
                <w:szCs w:val="22"/>
                <w:lang w:val="en-NZ"/>
              </w:rPr>
              <w:t xml:space="preserve">and </w:t>
            </w:r>
            <w:r w:rsidRPr="003731A7">
              <w:rPr>
                <w:color w:val="auto"/>
                <w:sz w:val="22"/>
                <w:szCs w:val="22"/>
                <w:lang w:val="en-NZ"/>
              </w:rPr>
              <w:t>accessible location.</w:t>
            </w:r>
          </w:p>
          <w:p w14:paraId="144DDF9B" w14:textId="02DE0679" w:rsidR="00615266" w:rsidRPr="003731A7" w:rsidRDefault="00615266">
            <w:pPr>
              <w:spacing w:before="60"/>
              <w:rPr>
                <w:color w:val="auto"/>
                <w:sz w:val="22"/>
                <w:szCs w:val="22"/>
              </w:rPr>
            </w:pPr>
          </w:p>
        </w:tc>
      </w:tr>
      <w:tr w:rsidR="0040594A" w:rsidRPr="00A81435" w14:paraId="78FC2C4A" w14:textId="77777777" w:rsidTr="00BE3E6D">
        <w:tc>
          <w:tcPr>
            <w:tcW w:w="1153" w:type="dxa"/>
          </w:tcPr>
          <w:p w14:paraId="6C689F6C" w14:textId="4E34176A" w:rsidR="0040594A" w:rsidRDefault="0040594A" w:rsidP="0040594A">
            <w:pPr>
              <w:spacing w:before="60"/>
              <w:rPr>
                <w:color w:val="auto"/>
                <w:sz w:val="22"/>
                <w:szCs w:val="22"/>
              </w:rPr>
            </w:pPr>
            <w:r>
              <w:rPr>
                <w:color w:val="auto"/>
                <w:sz w:val="22"/>
                <w:szCs w:val="22"/>
              </w:rPr>
              <w:t>22.</w:t>
            </w:r>
            <w:r w:rsidR="001D2BCC">
              <w:rPr>
                <w:color w:val="auto"/>
                <w:sz w:val="22"/>
                <w:szCs w:val="22"/>
              </w:rPr>
              <w:t>6</w:t>
            </w:r>
          </w:p>
        </w:tc>
        <w:tc>
          <w:tcPr>
            <w:tcW w:w="4568" w:type="dxa"/>
          </w:tcPr>
          <w:p w14:paraId="04B8D8AA" w14:textId="74A20C08" w:rsidR="0040594A" w:rsidRPr="00294351" w:rsidRDefault="0040594A" w:rsidP="0040594A">
            <w:pPr>
              <w:tabs>
                <w:tab w:val="left" w:pos="151"/>
              </w:tabs>
              <w:spacing w:before="60"/>
              <w:rPr>
                <w:rFonts w:cs="Arial"/>
                <w:color w:val="auto"/>
                <w:sz w:val="22"/>
                <w:szCs w:val="22"/>
              </w:rPr>
            </w:pPr>
            <w:r w:rsidRPr="00294351">
              <w:rPr>
                <w:rFonts w:cs="Arial"/>
                <w:color w:val="auto"/>
                <w:sz w:val="22"/>
                <w:szCs w:val="22"/>
              </w:rPr>
              <w:t xml:space="preserve">Have </w:t>
            </w:r>
            <w:r w:rsidR="00294351" w:rsidRPr="00294351">
              <w:rPr>
                <w:color w:val="auto"/>
                <w:sz w:val="22"/>
                <w:szCs w:val="22"/>
              </w:rPr>
              <w:t xml:space="preserve">Residual Current Devices (RCDs) </w:t>
            </w:r>
            <w:r w:rsidRPr="00294351">
              <w:rPr>
                <w:rFonts w:cs="Arial"/>
                <w:color w:val="auto"/>
                <w:sz w:val="22"/>
                <w:szCs w:val="22"/>
              </w:rPr>
              <w:t>where electrical medical devices are used.</w:t>
            </w:r>
          </w:p>
        </w:tc>
        <w:tc>
          <w:tcPr>
            <w:tcW w:w="4075" w:type="dxa"/>
          </w:tcPr>
          <w:p w14:paraId="425CB0EC" w14:textId="1527D45C" w:rsidR="00025546" w:rsidRPr="003731A7" w:rsidRDefault="00025546">
            <w:pPr>
              <w:spacing w:before="60"/>
              <w:rPr>
                <w:color w:val="auto"/>
                <w:sz w:val="22"/>
                <w:szCs w:val="22"/>
                <w:lang w:val="en-NZ"/>
              </w:rPr>
            </w:pPr>
            <w:r w:rsidRPr="003731A7">
              <w:rPr>
                <w:color w:val="auto"/>
                <w:sz w:val="22"/>
                <w:szCs w:val="22"/>
                <w:lang w:val="en-NZ"/>
              </w:rPr>
              <w:t>Demonstrate the use RCD’s in Body protected areas</w:t>
            </w:r>
            <w:r w:rsidR="003731A7" w:rsidRPr="003731A7">
              <w:rPr>
                <w:color w:val="auto"/>
                <w:sz w:val="22"/>
                <w:szCs w:val="22"/>
                <w:lang w:val="en-NZ"/>
              </w:rPr>
              <w:t>.</w:t>
            </w:r>
            <w:r w:rsidRPr="003731A7">
              <w:rPr>
                <w:color w:val="auto"/>
                <w:sz w:val="22"/>
                <w:szCs w:val="22"/>
                <w:lang w:val="en-NZ"/>
              </w:rPr>
              <w:t xml:space="preserve"> </w:t>
            </w:r>
          </w:p>
        </w:tc>
      </w:tr>
    </w:tbl>
    <w:p w14:paraId="45D14C3C" w14:textId="77777777" w:rsidR="007B29D4" w:rsidRPr="005B2DE1" w:rsidRDefault="007B29D4" w:rsidP="007B29D4">
      <w:pPr>
        <w:pStyle w:val="HHLBodyText"/>
        <w:spacing w:before="240"/>
        <w:rPr>
          <w:b/>
          <w:sz w:val="22"/>
          <w:szCs w:val="22"/>
        </w:rPr>
      </w:pPr>
      <w:r w:rsidRPr="005B2DE1">
        <w:rPr>
          <w:b/>
          <w:sz w:val="22"/>
          <w:szCs w:val="22"/>
        </w:rPr>
        <w:t>Required training</w:t>
      </w:r>
    </w:p>
    <w:p w14:paraId="54F46266" w14:textId="77777777" w:rsidR="00DB3F16" w:rsidRPr="00EF0A0E" w:rsidRDefault="00DB3F16" w:rsidP="00DB3F16">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541FA733" w14:textId="0C29C830" w:rsidR="00F24506" w:rsidRDefault="005615F1" w:rsidP="00F01A5E">
      <w:pPr>
        <w:pStyle w:val="BodyText"/>
      </w:pPr>
      <w:r w:rsidRPr="00A81435">
        <w:rPr>
          <w:b/>
          <w:szCs w:val="22"/>
        </w:rPr>
        <w:t>Guidance notes</w:t>
      </w:r>
    </w:p>
    <w:p w14:paraId="0F3FFBEB" w14:textId="5D5E29AA" w:rsidR="00F01A5E" w:rsidRDefault="00F01A5E" w:rsidP="00F01A5E">
      <w:pPr>
        <w:pStyle w:val="BodyText"/>
      </w:pPr>
      <w:r>
        <w:t xml:space="preserve">All medical equipment and resources must be suitable for supporting comprehensive primary care, safe resuscitation and safe performance of any additional procedures offered in your practice. </w:t>
      </w:r>
    </w:p>
    <w:p w14:paraId="24B0228A" w14:textId="77777777" w:rsidR="00F01A5E" w:rsidRDefault="00F01A5E" w:rsidP="00F01A5E">
      <w:pPr>
        <w:pStyle w:val="BodyText"/>
      </w:pPr>
      <w:r>
        <w:t>The adequacy and appropriateness of basic equipment may be determined by your practice’s circumstances and you must be able to justify any omissions.</w:t>
      </w:r>
    </w:p>
    <w:p w14:paraId="1429DC81" w14:textId="77777777" w:rsidR="00F01A5E" w:rsidRDefault="00F01A5E" w:rsidP="00F01A5E">
      <w:pPr>
        <w:pStyle w:val="BodyText"/>
      </w:pPr>
      <w:r>
        <w:t xml:space="preserve">All essential medical equipment and supplies listed in Appendix 1 must be available when needed, and competency in the use of the equipment should be current. </w:t>
      </w:r>
    </w:p>
    <w:p w14:paraId="4C678AEF" w14:textId="467619E9" w:rsidR="008E1CD8" w:rsidRDefault="008E1CD8" w:rsidP="008E1CD8">
      <w:pPr>
        <w:pStyle w:val="BodyText"/>
      </w:pPr>
      <w:r>
        <w:t xml:space="preserve">If a defibrillator </w:t>
      </w:r>
      <w:r>
        <w:rPr>
          <w:lang w:val="en-NZ"/>
        </w:rPr>
        <w:t>and/</w:t>
      </w:r>
      <w:r>
        <w:t>or an electrocardiograph is not available in your practice, an agreement should be in place for your practice team to access the equipment when needed</w:t>
      </w:r>
      <w:r>
        <w:rPr>
          <w:lang w:val="en-NZ"/>
        </w:rPr>
        <w:t xml:space="preserve"> within the indicator time frame.</w:t>
      </w:r>
      <w:r>
        <w:t xml:space="preserve"> Clinical team members should be appropriately trained to use them.</w:t>
      </w:r>
    </w:p>
    <w:p w14:paraId="1A3E9C5D" w14:textId="77777777" w:rsidR="00F01A5E" w:rsidRPr="00D02DC5" w:rsidRDefault="00F01A5E" w:rsidP="00F01A5E">
      <w:pPr>
        <w:pStyle w:val="BodyText"/>
        <w:rPr>
          <w:b/>
        </w:rPr>
      </w:pPr>
      <w:r w:rsidRPr="00D02DC5">
        <w:rPr>
          <w:b/>
        </w:rPr>
        <w:t>An electrical medical device is any piece of medical equipment as defined by the Medicines Act 1981 that involves an applied part to a patient and that part is electrically connected to equipment that has a power source that is earthed.</w:t>
      </w:r>
    </w:p>
    <w:p w14:paraId="6F014EA9" w14:textId="77777777" w:rsidR="00F01A5E" w:rsidRDefault="00F01A5E" w:rsidP="00F01A5E">
      <w:pPr>
        <w:pStyle w:val="BodyText"/>
      </w:pPr>
      <w:r>
        <w:t>When using or operating any type of equipment, including electrical medical devices, it is important to assess the following factors:</w:t>
      </w:r>
    </w:p>
    <w:p w14:paraId="2033900C" w14:textId="48703FF0" w:rsidR="00F01A5E" w:rsidRPr="002F5ED1" w:rsidRDefault="00F01A5E" w:rsidP="00F2122C">
      <w:pPr>
        <w:pStyle w:val="List1"/>
        <w:numPr>
          <w:ilvl w:val="0"/>
          <w:numId w:val="27"/>
        </w:numPr>
        <w:ind w:left="567" w:hanging="567"/>
        <w:rPr>
          <w:rFonts w:ascii="Arial" w:hAnsi="Arial" w:cs="Arial"/>
          <w:b/>
        </w:rPr>
      </w:pPr>
      <w:r w:rsidRPr="002F5ED1">
        <w:rPr>
          <w:rFonts w:ascii="Arial" w:hAnsi="Arial" w:cs="Arial"/>
          <w:b/>
        </w:rPr>
        <w:t>Environment:</w:t>
      </w:r>
    </w:p>
    <w:p w14:paraId="7529F080" w14:textId="75F59192" w:rsidR="00F01A5E" w:rsidRPr="000F359E" w:rsidRDefault="00F01A5E" w:rsidP="00F2122C">
      <w:pPr>
        <w:pStyle w:val="Bullets"/>
        <w:ind w:left="1134" w:hanging="567"/>
        <w:rPr>
          <w:rFonts w:ascii="Arial" w:hAnsi="Arial" w:cs="Arial"/>
        </w:rPr>
      </w:pPr>
      <w:r w:rsidRPr="000F359E">
        <w:rPr>
          <w:rFonts w:ascii="Arial" w:hAnsi="Arial" w:cs="Arial"/>
        </w:rPr>
        <w:t>Is the place you will be using the equipment configured for the purpose?</w:t>
      </w:r>
    </w:p>
    <w:p w14:paraId="64FC5E07" w14:textId="70F7DD49" w:rsidR="00F01A5E" w:rsidRPr="0096631C" w:rsidRDefault="00F01A5E" w:rsidP="00F2122C">
      <w:pPr>
        <w:pStyle w:val="List1"/>
        <w:numPr>
          <w:ilvl w:val="0"/>
          <w:numId w:val="27"/>
        </w:numPr>
        <w:spacing w:before="120"/>
        <w:ind w:left="567" w:hanging="567"/>
        <w:rPr>
          <w:rFonts w:ascii="Arial" w:hAnsi="Arial" w:cs="Arial"/>
        </w:rPr>
      </w:pPr>
      <w:r w:rsidRPr="0096631C">
        <w:rPr>
          <w:rFonts w:ascii="Arial" w:hAnsi="Arial" w:cs="Arial"/>
        </w:rPr>
        <w:t>Equipment safety:</w:t>
      </w:r>
    </w:p>
    <w:p w14:paraId="40B01260" w14:textId="1E44B35C" w:rsidR="00F01A5E" w:rsidRPr="000F359E" w:rsidRDefault="00F01A5E" w:rsidP="00F2122C">
      <w:pPr>
        <w:pStyle w:val="Bullets"/>
        <w:ind w:left="1134" w:hanging="567"/>
        <w:rPr>
          <w:rFonts w:ascii="Arial" w:hAnsi="Arial" w:cs="Arial"/>
        </w:rPr>
      </w:pPr>
      <w:r w:rsidRPr="000F359E">
        <w:rPr>
          <w:rFonts w:ascii="Arial" w:hAnsi="Arial" w:cs="Arial"/>
        </w:rPr>
        <w:lastRenderedPageBreak/>
        <w:t xml:space="preserve">Is the equipment safe (demonstrated by acceptance testing before new equipment is released and maintenance activities like annual testing and performance verification, </w:t>
      </w:r>
      <w:r w:rsidR="00573E02" w:rsidRPr="000F359E">
        <w:rPr>
          <w:rFonts w:ascii="Arial" w:hAnsi="Arial" w:cs="Arial"/>
        </w:rPr>
        <w:t>etc.</w:t>
      </w:r>
      <w:r w:rsidRPr="000F359E">
        <w:rPr>
          <w:rFonts w:ascii="Arial" w:hAnsi="Arial" w:cs="Arial"/>
        </w:rPr>
        <w:t xml:space="preserve">)? </w:t>
      </w:r>
    </w:p>
    <w:p w14:paraId="3DBDD2EE" w14:textId="6AC11D90" w:rsidR="00F01A5E" w:rsidRPr="000F359E" w:rsidRDefault="00F01A5E" w:rsidP="00F2122C">
      <w:pPr>
        <w:pStyle w:val="Bullets"/>
        <w:ind w:left="1134" w:hanging="567"/>
        <w:rPr>
          <w:rFonts w:ascii="Arial" w:hAnsi="Arial" w:cs="Arial"/>
        </w:rPr>
      </w:pPr>
      <w:r w:rsidRPr="000F359E">
        <w:rPr>
          <w:rFonts w:ascii="Arial" w:hAnsi="Arial" w:cs="Arial"/>
        </w:rPr>
        <w:t>The equipment needs to be in working order.</w:t>
      </w:r>
    </w:p>
    <w:p w14:paraId="3651B713" w14:textId="1FC82198" w:rsidR="00F01A5E" w:rsidRPr="000F359E" w:rsidRDefault="00F01A5E" w:rsidP="00F2122C">
      <w:pPr>
        <w:pStyle w:val="Bullets"/>
        <w:ind w:left="1134" w:hanging="567"/>
        <w:rPr>
          <w:rFonts w:ascii="Arial" w:hAnsi="Arial" w:cs="Arial"/>
        </w:rPr>
      </w:pPr>
      <w:r w:rsidRPr="000F359E">
        <w:rPr>
          <w:rFonts w:ascii="Arial" w:hAnsi="Arial" w:cs="Arial"/>
        </w:rPr>
        <w:t>If using electrical medical devices, is appropriate RCD protection used?</w:t>
      </w:r>
    </w:p>
    <w:p w14:paraId="77E919BC" w14:textId="4234B50E" w:rsidR="00F01A5E" w:rsidRPr="000F359E" w:rsidRDefault="00F01A5E" w:rsidP="00F2122C">
      <w:pPr>
        <w:pStyle w:val="Bullets"/>
        <w:ind w:left="1134" w:hanging="567"/>
        <w:rPr>
          <w:rFonts w:ascii="Arial" w:hAnsi="Arial" w:cs="Arial"/>
        </w:rPr>
      </w:pPr>
      <w:r w:rsidRPr="000F359E">
        <w:rPr>
          <w:rFonts w:ascii="Arial" w:hAnsi="Arial" w:cs="Arial"/>
        </w:rPr>
        <w:t>If the equipment is from overseas, does it meet New Zealand and/or international standards and is it compatible with New Zealand power, 230 Volts 50 HZ?</w:t>
      </w:r>
    </w:p>
    <w:p w14:paraId="448D263A" w14:textId="33A1C6E5" w:rsidR="00F01A5E" w:rsidRPr="000F359E" w:rsidRDefault="00F01A5E" w:rsidP="00F2122C">
      <w:pPr>
        <w:pStyle w:val="List1"/>
        <w:numPr>
          <w:ilvl w:val="0"/>
          <w:numId w:val="27"/>
        </w:numPr>
        <w:spacing w:before="120"/>
        <w:ind w:left="567" w:hanging="567"/>
        <w:rPr>
          <w:rFonts w:ascii="Arial" w:hAnsi="Arial" w:cs="Arial"/>
        </w:rPr>
      </w:pPr>
      <w:r w:rsidRPr="000F359E">
        <w:rPr>
          <w:rFonts w:ascii="Arial" w:hAnsi="Arial" w:cs="Arial"/>
        </w:rPr>
        <w:t>Training and competence:</w:t>
      </w:r>
    </w:p>
    <w:p w14:paraId="76004C52" w14:textId="4C68DFBD" w:rsidR="00F01A5E" w:rsidRPr="002F5ED1" w:rsidRDefault="00F01A5E" w:rsidP="00F2122C">
      <w:pPr>
        <w:pStyle w:val="Bullets"/>
        <w:ind w:left="1134" w:hanging="567"/>
        <w:rPr>
          <w:rFonts w:ascii="Arial" w:hAnsi="Arial" w:cs="Arial"/>
        </w:rPr>
      </w:pPr>
      <w:r w:rsidRPr="002F5ED1">
        <w:rPr>
          <w:rFonts w:ascii="Arial" w:hAnsi="Arial" w:cs="Arial"/>
        </w:rPr>
        <w:t>Does the operator know how to use the equipment?</w:t>
      </w:r>
    </w:p>
    <w:p w14:paraId="047CCA0C" w14:textId="6365DE59" w:rsidR="00F01A5E" w:rsidRPr="002F5ED1" w:rsidRDefault="00F01A5E" w:rsidP="00F2122C">
      <w:pPr>
        <w:pStyle w:val="Bullets"/>
        <w:ind w:left="1134" w:hanging="567"/>
        <w:rPr>
          <w:rFonts w:ascii="Arial" w:hAnsi="Arial" w:cs="Arial"/>
        </w:rPr>
      </w:pPr>
      <w:r w:rsidRPr="002F5ED1">
        <w:rPr>
          <w:rFonts w:ascii="Arial" w:hAnsi="Arial" w:cs="Arial"/>
        </w:rPr>
        <w:t>Is the operator using the equipment safely?</w:t>
      </w:r>
    </w:p>
    <w:p w14:paraId="425FE355" w14:textId="79E70E99" w:rsidR="00F01A5E" w:rsidRPr="002F5ED1" w:rsidRDefault="00F01A5E" w:rsidP="00F2122C">
      <w:pPr>
        <w:pStyle w:val="Bullets"/>
        <w:ind w:left="1134" w:hanging="567"/>
        <w:rPr>
          <w:rFonts w:ascii="Arial" w:hAnsi="Arial" w:cs="Arial"/>
        </w:rPr>
      </w:pPr>
      <w:r w:rsidRPr="002F5ED1">
        <w:rPr>
          <w:rFonts w:ascii="Arial" w:hAnsi="Arial" w:cs="Arial"/>
        </w:rPr>
        <w:t>Instructions and rules around its use are provided.</w:t>
      </w:r>
    </w:p>
    <w:p w14:paraId="3ED49F03" w14:textId="77777777" w:rsidR="00F01A5E" w:rsidRPr="001F03B7" w:rsidRDefault="00F01A5E" w:rsidP="001F03B7">
      <w:pPr>
        <w:pStyle w:val="BodyText"/>
        <w:spacing w:before="240"/>
        <w:rPr>
          <w:i/>
          <w:sz w:val="24"/>
          <w:szCs w:val="24"/>
        </w:rPr>
      </w:pPr>
      <w:r w:rsidRPr="001F03B7">
        <w:rPr>
          <w:i/>
          <w:sz w:val="24"/>
          <w:szCs w:val="24"/>
        </w:rPr>
        <w:t>Calibration and validation</w:t>
      </w:r>
    </w:p>
    <w:p w14:paraId="7DE519E4" w14:textId="4468E6B5" w:rsidR="00F01A5E" w:rsidRPr="000F359E" w:rsidRDefault="00F01A5E" w:rsidP="00F01A5E">
      <w:pPr>
        <w:pStyle w:val="BodyText"/>
      </w:pPr>
      <w:r w:rsidRPr="000F359E">
        <w:t>Calibration is the process that confirms the quantitative accuracy of instruments or equipment (</w:t>
      </w:r>
      <w:r w:rsidR="002D3694" w:rsidRPr="000F359E">
        <w:t>e.g.</w:t>
      </w:r>
      <w:r w:rsidRPr="000F359E">
        <w:t xml:space="preserve"> scales, sphygmomanometers).</w:t>
      </w:r>
    </w:p>
    <w:p w14:paraId="591F4965" w14:textId="55409E23" w:rsidR="00F01A5E" w:rsidRPr="000F359E" w:rsidRDefault="00F01A5E" w:rsidP="00F01A5E">
      <w:pPr>
        <w:pStyle w:val="BodyText"/>
      </w:pPr>
      <w:r w:rsidRPr="000F359E">
        <w:t>Validation is the process of confirming the effectiveness of the equipment that it is achieving the required outcomes (</w:t>
      </w:r>
      <w:r w:rsidR="002D3694" w:rsidRPr="000F359E">
        <w:t>e.g.</w:t>
      </w:r>
      <w:r w:rsidRPr="000F359E">
        <w:t xml:space="preserve"> steriliser/autoclave). </w:t>
      </w:r>
    </w:p>
    <w:p w14:paraId="204F946A" w14:textId="77777777" w:rsidR="00F01A5E" w:rsidRPr="000F359E" w:rsidRDefault="00F01A5E" w:rsidP="00F01A5E">
      <w:pPr>
        <w:pStyle w:val="BodyText"/>
      </w:pPr>
      <w:r w:rsidRPr="000F359E">
        <w:t>You will need to keep records of annual servicing, calibration and validation of key pieces of equipment in your practice.</w:t>
      </w:r>
    </w:p>
    <w:p w14:paraId="27FD6F7D" w14:textId="77777777" w:rsidR="00F01A5E" w:rsidRPr="001F03B7" w:rsidRDefault="00F01A5E" w:rsidP="001F03B7">
      <w:pPr>
        <w:pStyle w:val="BodyText"/>
        <w:spacing w:before="240"/>
        <w:rPr>
          <w:i/>
          <w:sz w:val="24"/>
          <w:szCs w:val="24"/>
        </w:rPr>
      </w:pPr>
      <w:r w:rsidRPr="001F03B7">
        <w:rPr>
          <w:i/>
          <w:sz w:val="24"/>
          <w:szCs w:val="24"/>
        </w:rPr>
        <w:t>Testing RCDS</w:t>
      </w:r>
    </w:p>
    <w:p w14:paraId="40AAE51A" w14:textId="77777777" w:rsidR="00F01A5E" w:rsidRPr="000F359E" w:rsidRDefault="00F01A5E" w:rsidP="00F01A5E">
      <w:pPr>
        <w:pStyle w:val="BodyText"/>
      </w:pPr>
      <w:r w:rsidRPr="000F359E">
        <w:t xml:space="preserve">RCDs should be tested regularly to ensure that their capacity to ‘trip’ is still functioning. This is something that the practice staff can do. </w:t>
      </w:r>
    </w:p>
    <w:p w14:paraId="7723F65A" w14:textId="77777777" w:rsidR="00F01A5E" w:rsidRPr="000F359E" w:rsidRDefault="00F01A5E" w:rsidP="00F01A5E">
      <w:pPr>
        <w:pStyle w:val="BodyText"/>
      </w:pPr>
      <w:r w:rsidRPr="000F359E">
        <w:t>You can test your socket outlet or portable RCDs by plugging in a small electric appliance (such as a lamp). Press the ‘test’ button. If the appliance turns off, the RCD is working. If it stays on, get your RCD checked by a licensed electrician. Make sure you press ‘reset’ once the test is complete.</w:t>
      </w:r>
    </w:p>
    <w:p w14:paraId="39AEC7B7" w14:textId="77777777" w:rsidR="00F01A5E" w:rsidRPr="000F359E" w:rsidRDefault="00F01A5E" w:rsidP="00F01A5E">
      <w:pPr>
        <w:pStyle w:val="BodyText"/>
      </w:pPr>
      <w:r w:rsidRPr="000F359E">
        <w:t>It’s a good idea to test switchboard RCDs every six months by checking that it trips when the ‘test’ button is pushed. However, be aware that tripping circuits will turn off the power to any appliances on that circuit (be careful with your vaccine refrigerator). So appliances with electronic clocks will have to be reset. For this reason, it’s a good idea to test your switchboard RCDs when changing to and from daylight saving – when clocks have to be reset anyway and it will be about six months since the RCDs were last tested. See Residual Current Devices for more information.</w:t>
      </w:r>
    </w:p>
    <w:p w14:paraId="01309C6A" w14:textId="77777777" w:rsidR="00F01A5E" w:rsidRPr="000F359E" w:rsidRDefault="00F01A5E" w:rsidP="00F01A5E">
      <w:pPr>
        <w:pStyle w:val="BodyText"/>
      </w:pPr>
      <w:r w:rsidRPr="000F359E">
        <w:t>In addition, all 10mAmp Type 1 RCDs should be regularly (annually) tested by an electrician with proper test equipment, and documented. The testing details can be sent by email for your records.</w:t>
      </w:r>
    </w:p>
    <w:p w14:paraId="40ED3552" w14:textId="77777777" w:rsidR="00F01A5E" w:rsidRPr="000F359E" w:rsidRDefault="00F01A5E" w:rsidP="00F01A5E">
      <w:pPr>
        <w:pStyle w:val="BodyText"/>
      </w:pPr>
      <w:r w:rsidRPr="000F359E">
        <w:t>Make sure you keep a dated and signed record of any RCD testing – electronic is acceptable.</w:t>
      </w:r>
    </w:p>
    <w:p w14:paraId="67236813" w14:textId="77777777" w:rsidR="00F01A5E" w:rsidRPr="000F359E" w:rsidRDefault="00F01A5E" w:rsidP="00F01A5E">
      <w:pPr>
        <w:pStyle w:val="BodyText"/>
      </w:pPr>
      <w:r w:rsidRPr="000F359E">
        <w:t>Your electrical testing records should include:</w:t>
      </w:r>
    </w:p>
    <w:p w14:paraId="545C8BAD" w14:textId="6DA46709" w:rsidR="00F01A5E" w:rsidRPr="000F359E" w:rsidRDefault="00F01A5E" w:rsidP="00F2122C">
      <w:pPr>
        <w:pStyle w:val="BodyText"/>
        <w:tabs>
          <w:tab w:val="left" w:pos="567"/>
        </w:tabs>
        <w:ind w:left="567" w:hanging="567"/>
      </w:pPr>
      <w:r w:rsidRPr="000F359E">
        <w:t>1.</w:t>
      </w:r>
      <w:r w:rsidRPr="000F359E">
        <w:tab/>
        <w:t>Who did the testing</w:t>
      </w:r>
    </w:p>
    <w:p w14:paraId="7D673F77" w14:textId="5711C512" w:rsidR="00F01A5E" w:rsidRPr="000F359E" w:rsidRDefault="00F01A5E" w:rsidP="00F2122C">
      <w:pPr>
        <w:pStyle w:val="BodyText"/>
        <w:tabs>
          <w:tab w:val="left" w:pos="567"/>
        </w:tabs>
        <w:ind w:left="567" w:hanging="567"/>
      </w:pPr>
      <w:r w:rsidRPr="000F359E">
        <w:t>2.</w:t>
      </w:r>
      <w:r w:rsidRPr="000F359E">
        <w:tab/>
        <w:t>What equipment was tested (list what was tested)</w:t>
      </w:r>
    </w:p>
    <w:p w14:paraId="7CFAAD57" w14:textId="5FC226AB" w:rsidR="00F01A5E" w:rsidRPr="000F359E" w:rsidRDefault="00F01A5E" w:rsidP="00F2122C">
      <w:pPr>
        <w:pStyle w:val="BodyText"/>
        <w:tabs>
          <w:tab w:val="left" w:pos="567"/>
        </w:tabs>
        <w:ind w:left="567" w:hanging="567"/>
      </w:pPr>
      <w:r w:rsidRPr="000F359E">
        <w:t>3.</w:t>
      </w:r>
      <w:r w:rsidRPr="000F359E">
        <w:tab/>
        <w:t>What they are claiming (</w:t>
      </w:r>
      <w:r w:rsidR="002D3694" w:rsidRPr="000F359E">
        <w:t>e.g.</w:t>
      </w:r>
      <w:r w:rsidRPr="000F359E">
        <w:t xml:space="preserve"> it is safe, it has been verified it is performing properly, </w:t>
      </w:r>
      <w:r w:rsidR="00573E02" w:rsidRPr="000F359E">
        <w:t>etc.</w:t>
      </w:r>
      <w:r w:rsidRPr="000F359E">
        <w:t>)</w:t>
      </w:r>
    </w:p>
    <w:p w14:paraId="37D8DF36" w14:textId="365253E0" w:rsidR="00F01A5E" w:rsidRPr="000F359E" w:rsidRDefault="00F01A5E" w:rsidP="00F2122C">
      <w:pPr>
        <w:pStyle w:val="BodyText"/>
        <w:tabs>
          <w:tab w:val="left" w:pos="567"/>
        </w:tabs>
        <w:ind w:left="567" w:hanging="567"/>
      </w:pPr>
      <w:r w:rsidRPr="000F359E">
        <w:t>4.</w:t>
      </w:r>
      <w:r w:rsidRPr="000F359E">
        <w:tab/>
        <w:t>What the basis/evidence for the claim is (</w:t>
      </w:r>
      <w:r w:rsidR="002D3694" w:rsidRPr="000F359E">
        <w:t>e.g.</w:t>
      </w:r>
      <w:r w:rsidRPr="000F359E">
        <w:t xml:space="preserve"> test results, </w:t>
      </w:r>
      <w:r w:rsidR="00573E02" w:rsidRPr="000F359E">
        <w:t>etc.</w:t>
      </w:r>
      <w:r w:rsidRPr="000F359E">
        <w:t>)</w:t>
      </w:r>
    </w:p>
    <w:p w14:paraId="15F7F728" w14:textId="77777777" w:rsidR="00F01A5E" w:rsidRPr="001F03B7" w:rsidRDefault="00F01A5E" w:rsidP="001F03B7">
      <w:pPr>
        <w:pStyle w:val="BodyText"/>
        <w:spacing w:before="240"/>
        <w:rPr>
          <w:i/>
          <w:sz w:val="24"/>
          <w:szCs w:val="24"/>
        </w:rPr>
      </w:pPr>
      <w:r w:rsidRPr="001F03B7">
        <w:rPr>
          <w:i/>
          <w:sz w:val="24"/>
          <w:szCs w:val="24"/>
        </w:rPr>
        <w:t>Body Protected Areas</w:t>
      </w:r>
    </w:p>
    <w:p w14:paraId="0D6E0307" w14:textId="77777777" w:rsidR="00F01A5E" w:rsidRDefault="00F01A5E" w:rsidP="00F01A5E">
      <w:pPr>
        <w:pStyle w:val="BodyText"/>
      </w:pPr>
      <w:r>
        <w:t xml:space="preserve">In some situations the practice may decide to set up areas specifically dedicated for using electrical medical devices that are used to diagnose, treat, or monitor a patient. These areas are referred to as a Body Protected Area. </w:t>
      </w:r>
    </w:p>
    <w:p w14:paraId="5076E75A" w14:textId="77777777" w:rsidR="00F01A5E" w:rsidRDefault="00F01A5E" w:rsidP="00F01A5E">
      <w:pPr>
        <w:pStyle w:val="BodyText"/>
      </w:pPr>
      <w:r>
        <w:lastRenderedPageBreak/>
        <w:t>Specialised services such as X-ray, minor surgery (involving diathermy and monitoring) or even a plaster room may benefit from the use of Body Protected Areas.</w:t>
      </w:r>
    </w:p>
    <w:p w14:paraId="7C96504B" w14:textId="77777777" w:rsidR="00F01A5E" w:rsidRDefault="00F01A5E" w:rsidP="00F01A5E">
      <w:pPr>
        <w:pStyle w:val="BodyText"/>
      </w:pPr>
      <w:r>
        <w:t xml:space="preserve">The features of a Body Protected Area are: </w:t>
      </w:r>
    </w:p>
    <w:p w14:paraId="2D933CF7" w14:textId="60DAD4AB" w:rsidR="00F01A5E" w:rsidRDefault="00F01A5E" w:rsidP="00F2122C">
      <w:pPr>
        <w:pStyle w:val="BodyText"/>
        <w:tabs>
          <w:tab w:val="left" w:pos="567"/>
        </w:tabs>
        <w:ind w:left="567" w:hanging="567"/>
      </w:pPr>
      <w:r>
        <w:t>1.</w:t>
      </w:r>
      <w:r>
        <w:tab/>
        <w:t>They use isolating RCDs (10mAmp Type 1)</w:t>
      </w:r>
      <w:r w:rsidR="00EE2F43">
        <w:t>.</w:t>
      </w:r>
    </w:p>
    <w:p w14:paraId="0496A2FB" w14:textId="50C64FBD" w:rsidR="00F01A5E" w:rsidRDefault="00F01A5E" w:rsidP="00F2122C">
      <w:pPr>
        <w:pStyle w:val="BodyText"/>
        <w:tabs>
          <w:tab w:val="left" w:pos="567"/>
        </w:tabs>
        <w:ind w:left="567" w:hanging="567"/>
      </w:pPr>
      <w:r>
        <w:t>2.</w:t>
      </w:r>
      <w:r>
        <w:tab/>
        <w:t>They use socket indicators (lights on/off)</w:t>
      </w:r>
      <w:r w:rsidR="00EE2F43">
        <w:t>.</w:t>
      </w:r>
      <w:r>
        <w:t xml:space="preserve"> </w:t>
      </w:r>
    </w:p>
    <w:p w14:paraId="21F72318" w14:textId="77777777" w:rsidR="00F01A5E" w:rsidRDefault="00F01A5E" w:rsidP="00F2122C">
      <w:pPr>
        <w:pStyle w:val="BodyText"/>
        <w:tabs>
          <w:tab w:val="left" w:pos="567"/>
        </w:tabs>
        <w:ind w:left="567" w:hanging="567"/>
      </w:pPr>
      <w:r>
        <w:t>3.</w:t>
      </w:r>
      <w:r>
        <w:tab/>
        <w:t>RCDs need to be accessible in the Body Protected Area/room or be labelled with lights on the switchboard in accordance with AS/NZS 3003.</w:t>
      </w:r>
    </w:p>
    <w:p w14:paraId="210A1421" w14:textId="77777777" w:rsidR="00F01A5E" w:rsidRDefault="00F01A5E" w:rsidP="00F01A5E">
      <w:pPr>
        <w:pStyle w:val="BodyText"/>
      </w:pPr>
      <w:r>
        <w:t xml:space="preserve">The specific requirements for Body Protected Areas are described in a joint Australian/New Zealand standard AS/NZS3003 (2011). </w:t>
      </w:r>
    </w:p>
    <w:p w14:paraId="1AB3099C" w14:textId="77777777" w:rsidR="00F01A5E" w:rsidRDefault="00F01A5E" w:rsidP="00F01A5E">
      <w:pPr>
        <w:pStyle w:val="BodyText"/>
      </w:pPr>
      <w:r>
        <w:t>A general practice may not need to set up Body Protected Areas to use electrical medical devices if they are following safety standards as outlined above.</w:t>
      </w:r>
    </w:p>
    <w:p w14:paraId="6184746B" w14:textId="77777777" w:rsidR="00F01A5E" w:rsidRDefault="00F01A5E" w:rsidP="00F01A5E">
      <w:pPr>
        <w:pStyle w:val="BodyText"/>
      </w:pPr>
      <w:r>
        <w:t xml:space="preserve">However if a practice is setting up Body Protected Areas within the practice then is it essential that advice and direction is received from a suitably qualified person. </w:t>
      </w:r>
    </w:p>
    <w:p w14:paraId="31732967" w14:textId="77777777" w:rsidR="00F01A5E" w:rsidRDefault="00F01A5E" w:rsidP="00F01A5E">
      <w:pPr>
        <w:pStyle w:val="BodyText"/>
      </w:pPr>
      <w:r>
        <w:t>Where the practice has deemed an area is a Body Protected Area, this area is to be certified and maintained in accordance with AS/NZS 3003. Keep a documented record of assessment by an authorised person. You will need the correct sign on the wall with correct, current stickers.</w:t>
      </w:r>
    </w:p>
    <w:p w14:paraId="2A0829EA" w14:textId="50A66BD1" w:rsidR="00F01A5E" w:rsidRDefault="00F01A5E" w:rsidP="00F01A5E">
      <w:pPr>
        <w:pStyle w:val="BodyText"/>
      </w:pPr>
      <w:r>
        <w:t>It is the responsibility of each general practice to ensure they have checked their individual requirements to ensure compliance with the relevant legislation or standards.</w:t>
      </w:r>
    </w:p>
    <w:p w14:paraId="0F9F5797" w14:textId="77777777" w:rsidR="00D22A31" w:rsidRPr="000F359E" w:rsidRDefault="00D22A31" w:rsidP="00D22A31">
      <w:pPr>
        <w:pStyle w:val="BodyText"/>
      </w:pPr>
      <w:r w:rsidRPr="000F359E">
        <w:t>Body Protected Areas need to be inspected annually by someone appropriately qualified. On each occasion the Body Protected Area signage will need to be updated with the latest inspection date.</w:t>
      </w:r>
    </w:p>
    <w:p w14:paraId="6EEFFBB1" w14:textId="77777777" w:rsidR="00D22A31" w:rsidRPr="00D22A31" w:rsidRDefault="00D22A31" w:rsidP="00D22A31">
      <w:pPr>
        <w:pStyle w:val="BodyText"/>
        <w:spacing w:before="240"/>
        <w:rPr>
          <w:i/>
          <w:sz w:val="24"/>
          <w:szCs w:val="24"/>
        </w:rPr>
      </w:pPr>
      <w:r w:rsidRPr="00D22A31">
        <w:rPr>
          <w:i/>
          <w:sz w:val="24"/>
          <w:szCs w:val="24"/>
        </w:rPr>
        <w:t>Required documentation</w:t>
      </w:r>
    </w:p>
    <w:p w14:paraId="0797AC37" w14:textId="77777777" w:rsidR="00D22A31" w:rsidRPr="000F359E" w:rsidRDefault="00D22A31" w:rsidP="007667FE">
      <w:pPr>
        <w:pStyle w:val="BodyText"/>
      </w:pPr>
      <w:r w:rsidRPr="000F359E">
        <w:t>The practice should hold:</w:t>
      </w:r>
    </w:p>
    <w:p w14:paraId="60B677A5" w14:textId="25EAFA92" w:rsidR="00D22A31" w:rsidRPr="000F359E" w:rsidRDefault="00921E6A" w:rsidP="00F2122C">
      <w:pPr>
        <w:pStyle w:val="BodyText"/>
        <w:numPr>
          <w:ilvl w:val="0"/>
          <w:numId w:val="28"/>
        </w:numPr>
        <w:spacing w:after="60"/>
        <w:ind w:left="567" w:hanging="567"/>
      </w:pPr>
      <w:r>
        <w:t>A</w:t>
      </w:r>
      <w:r w:rsidR="00D22A31" w:rsidRPr="000F359E">
        <w:t xml:space="preserve"> register of the medical equipment with a schedule and reminder process to ensure everything is current</w:t>
      </w:r>
      <w:r>
        <w:t>.</w:t>
      </w:r>
    </w:p>
    <w:p w14:paraId="5318E196" w14:textId="71C35518" w:rsidR="00D22A31" w:rsidRPr="000F359E" w:rsidRDefault="00AF5F78" w:rsidP="00F2122C">
      <w:pPr>
        <w:pStyle w:val="BodyText"/>
        <w:numPr>
          <w:ilvl w:val="0"/>
          <w:numId w:val="28"/>
        </w:numPr>
        <w:spacing w:after="60"/>
        <w:ind w:left="567" w:hanging="567"/>
      </w:pPr>
      <w:r>
        <w:t>A</w:t>
      </w:r>
      <w:r w:rsidR="00D22A31" w:rsidRPr="000F359E">
        <w:t xml:space="preserve"> copy of the annual medical equipment servicing report (this should be certified and dated)</w:t>
      </w:r>
      <w:r w:rsidR="00C907DA">
        <w:t>.</w:t>
      </w:r>
    </w:p>
    <w:p w14:paraId="7C931FDD" w14:textId="55A3A1C5" w:rsidR="00D22A31" w:rsidRPr="000F359E" w:rsidRDefault="00A96E1B" w:rsidP="00F2122C">
      <w:pPr>
        <w:pStyle w:val="BodyText"/>
        <w:numPr>
          <w:ilvl w:val="0"/>
          <w:numId w:val="28"/>
        </w:numPr>
        <w:spacing w:after="60"/>
        <w:ind w:left="567" w:hanging="567"/>
      </w:pPr>
      <w:r>
        <w:t xml:space="preserve">A </w:t>
      </w:r>
      <w:r w:rsidR="00D22A31" w:rsidRPr="000F359E">
        <w:t>record confirming the date when RCDs have been tested.</w:t>
      </w:r>
    </w:p>
    <w:p w14:paraId="163CB327" w14:textId="77777777" w:rsidR="00F01A5E" w:rsidRPr="001F03B7" w:rsidRDefault="00F01A5E" w:rsidP="001F03B7">
      <w:pPr>
        <w:pStyle w:val="BodyText"/>
        <w:spacing w:before="240"/>
        <w:rPr>
          <w:i/>
          <w:sz w:val="24"/>
          <w:szCs w:val="24"/>
        </w:rPr>
      </w:pPr>
      <w:r w:rsidRPr="001F03B7">
        <w:rPr>
          <w:i/>
          <w:sz w:val="24"/>
          <w:szCs w:val="24"/>
        </w:rPr>
        <w:t>Safe storage of medical equipment, medicines and pharmaceutical products</w:t>
      </w:r>
    </w:p>
    <w:p w14:paraId="31B19B09" w14:textId="77777777" w:rsidR="00F01A5E" w:rsidRDefault="00F01A5E" w:rsidP="00F01A5E">
      <w:pPr>
        <w:pStyle w:val="BodyText"/>
      </w:pPr>
      <w:r>
        <w:t>The Medicines Act 1981 – Section 47 states:</w:t>
      </w:r>
    </w:p>
    <w:p w14:paraId="05958722" w14:textId="77777777" w:rsidR="00F01A5E" w:rsidRDefault="00F01A5E" w:rsidP="00F01A5E">
      <w:pPr>
        <w:pStyle w:val="BodyText"/>
      </w:pPr>
      <w:r>
        <w:t>Storage and delivery of medicines</w:t>
      </w:r>
    </w:p>
    <w:p w14:paraId="546DD52E" w14:textId="77777777" w:rsidR="00F01A5E" w:rsidRDefault="00F01A5E" w:rsidP="00F2122C">
      <w:pPr>
        <w:pStyle w:val="BodyText"/>
        <w:tabs>
          <w:tab w:val="left" w:pos="567"/>
        </w:tabs>
        <w:ind w:left="567" w:hanging="567"/>
      </w:pPr>
      <w:r>
        <w:t>1.</w:t>
      </w:r>
      <w:r>
        <w:tab/>
        <w:t>No person who is in possession or in charge of any prescription medicine or restricted medicine shall put it—</w:t>
      </w:r>
    </w:p>
    <w:p w14:paraId="14981789" w14:textId="5C16118E" w:rsidR="00F01A5E" w:rsidRDefault="00F01A5E" w:rsidP="00F2122C">
      <w:pPr>
        <w:pStyle w:val="BodyText"/>
        <w:tabs>
          <w:tab w:val="left" w:pos="1134"/>
        </w:tabs>
        <w:ind w:left="1134" w:hanging="567"/>
      </w:pPr>
      <w:r>
        <w:t>a.</w:t>
      </w:r>
      <w:r>
        <w:tab/>
      </w:r>
      <w:r w:rsidR="008B36B0">
        <w:t>I</w:t>
      </w:r>
      <w:r>
        <w:t>n any cupboard, box, shelf, or other place of storage in which articles of food or drink are stored or kept for ready use; or</w:t>
      </w:r>
    </w:p>
    <w:p w14:paraId="29CBA3BC" w14:textId="50956A6A" w:rsidR="00F01A5E" w:rsidRDefault="00F01A5E" w:rsidP="00F2122C">
      <w:pPr>
        <w:pStyle w:val="BodyText"/>
        <w:tabs>
          <w:tab w:val="left" w:pos="1134"/>
        </w:tabs>
        <w:ind w:left="1134" w:hanging="567"/>
      </w:pPr>
      <w:r>
        <w:t>b.</w:t>
      </w:r>
      <w:r>
        <w:tab/>
      </w:r>
      <w:r w:rsidR="007667FE">
        <w:t>I</w:t>
      </w:r>
      <w:r>
        <w:t>n any place to which young children or unauthorised persons have ready access.</w:t>
      </w:r>
    </w:p>
    <w:p w14:paraId="04552949" w14:textId="77777777" w:rsidR="00F01A5E" w:rsidRDefault="00F01A5E" w:rsidP="00F2122C">
      <w:pPr>
        <w:pStyle w:val="BodyText"/>
        <w:tabs>
          <w:tab w:val="left" w:pos="567"/>
        </w:tabs>
        <w:ind w:left="567" w:hanging="567"/>
      </w:pPr>
      <w:r>
        <w:t>2.</w:t>
      </w:r>
      <w:r>
        <w:tab/>
        <w:t>No person shall pack any medicine, or prepare it for use, in any room, or on any table or bench, that is used for the purpose of packing, preparing, or consuming any food or drink.</w:t>
      </w:r>
    </w:p>
    <w:p w14:paraId="6293FA16" w14:textId="521D7BA8" w:rsidR="005615F1" w:rsidRDefault="00F01A5E" w:rsidP="00F2122C">
      <w:pPr>
        <w:pStyle w:val="BodyText"/>
        <w:tabs>
          <w:tab w:val="left" w:pos="567"/>
        </w:tabs>
        <w:ind w:left="567" w:hanging="567"/>
      </w:pPr>
      <w:r>
        <w:t>3.</w:t>
      </w:r>
      <w:r>
        <w:tab/>
        <w:t>Except as otherwise provided in any regulations made under this Act, no person who is in possession, for the purposes of any business, of a prescription medicine or a restricted medicine that is kept for the time being within any building or vehicle shall leave that building or vehicle unattended, unless they have taken all reasonable steps to secure that building or vehicle, or the part of it in which the medicine is kept, against unlawful entry.</w:t>
      </w:r>
    </w:p>
    <w:p w14:paraId="61EDFA61" w14:textId="77777777" w:rsidR="005615F1" w:rsidRDefault="005615F1" w:rsidP="005615F1">
      <w:pPr>
        <w:spacing w:before="240" w:after="120"/>
        <w:rPr>
          <w:b/>
          <w:color w:val="auto"/>
          <w:sz w:val="22"/>
          <w:szCs w:val="22"/>
        </w:rPr>
      </w:pPr>
      <w:r w:rsidRPr="00A81435">
        <w:rPr>
          <w:b/>
          <w:color w:val="auto"/>
          <w:sz w:val="22"/>
          <w:szCs w:val="22"/>
        </w:rPr>
        <w:lastRenderedPageBreak/>
        <w:t>Resources</w:t>
      </w:r>
    </w:p>
    <w:p w14:paraId="7D7068B4" w14:textId="2DA72062" w:rsidR="00AD5947" w:rsidRPr="00232F4C" w:rsidRDefault="00CF1416" w:rsidP="0024030C">
      <w:pPr>
        <w:pStyle w:val="Resourcelist"/>
        <w:spacing w:after="120"/>
        <w:rPr>
          <w:rStyle w:val="Hyperlink"/>
          <w:rFonts w:ascii="Arial" w:hAnsi="Arial" w:cs="Arial"/>
          <w:color w:val="0000FF"/>
        </w:rPr>
      </w:pPr>
      <w:hyperlink r:id="rId171" w:history="1">
        <w:r w:rsidR="00AD5947" w:rsidRPr="00232F4C">
          <w:rPr>
            <w:rStyle w:val="Hyperlink"/>
            <w:rFonts w:ascii="Arial" w:hAnsi="Arial" w:cs="Arial"/>
            <w:color w:val="0000FF"/>
          </w:rPr>
          <w:t xml:space="preserve">Automated External Defibrillators (AEDs) </w:t>
        </w:r>
        <w:r w:rsidR="00C75703" w:rsidRPr="00232F4C">
          <w:rPr>
            <w:rStyle w:val="Hyperlink"/>
            <w:rFonts w:ascii="Arial" w:hAnsi="Arial" w:cs="Arial"/>
            <w:color w:val="0000FF"/>
          </w:rPr>
          <w:t xml:space="preserve">locations </w:t>
        </w:r>
        <w:r w:rsidR="00AD5947" w:rsidRPr="00232F4C">
          <w:rPr>
            <w:rStyle w:val="Hyperlink"/>
            <w:rFonts w:ascii="Arial" w:hAnsi="Arial" w:cs="Arial"/>
            <w:color w:val="0000FF"/>
          </w:rPr>
          <w:t>in your community</w:t>
        </w:r>
      </w:hyperlink>
    </w:p>
    <w:p w14:paraId="188541BD" w14:textId="0ECB0C56" w:rsidR="00F01A5E" w:rsidRPr="00232F4C" w:rsidRDefault="00CF1416" w:rsidP="0024030C">
      <w:pPr>
        <w:pStyle w:val="Resourcelist"/>
        <w:spacing w:after="120"/>
        <w:rPr>
          <w:rStyle w:val="Hyperlink"/>
          <w:rFonts w:ascii="Arial" w:hAnsi="Arial" w:cs="Arial"/>
          <w:color w:val="0000FF"/>
        </w:rPr>
      </w:pPr>
      <w:hyperlink r:id="rId172" w:history="1">
        <w:r w:rsidR="00F01A5E" w:rsidRPr="00232F4C">
          <w:rPr>
            <w:rStyle w:val="Hyperlink"/>
            <w:rFonts w:ascii="Arial" w:hAnsi="Arial" w:cs="Arial"/>
            <w:color w:val="0000FF"/>
          </w:rPr>
          <w:t>Electrical (Safety) Regulations 2010</w:t>
        </w:r>
      </w:hyperlink>
      <w:r w:rsidR="008D6753" w:rsidRPr="00232F4C">
        <w:rPr>
          <w:rStyle w:val="Hyperlink"/>
          <w:rFonts w:ascii="Arial" w:hAnsi="Arial" w:cs="Arial"/>
          <w:color w:val="0000FF"/>
        </w:rPr>
        <w:t xml:space="preserve"> (referenced clauses cover electrical medical devices)</w:t>
      </w:r>
    </w:p>
    <w:p w14:paraId="4B37BC50" w14:textId="3638ED45" w:rsidR="00F01A5E" w:rsidRPr="00A273D4" w:rsidRDefault="008D6753" w:rsidP="00F2122C">
      <w:pPr>
        <w:pStyle w:val="Resourcelist-L2"/>
        <w:numPr>
          <w:ilvl w:val="0"/>
          <w:numId w:val="33"/>
        </w:numPr>
        <w:ind w:left="540" w:hanging="540"/>
        <w:rPr>
          <w:rStyle w:val="Hyperlink"/>
          <w:rFonts w:ascii="Arial" w:hAnsi="Arial" w:cs="Arial"/>
          <w:szCs w:val="22"/>
        </w:rPr>
      </w:pPr>
      <w:r w:rsidRPr="00A273D4">
        <w:rPr>
          <w:rFonts w:ascii="Arial" w:hAnsi="Arial" w:cs="Arial"/>
          <w:szCs w:val="22"/>
        </w:rPr>
        <w:fldChar w:fldCharType="begin"/>
      </w:r>
      <w:r w:rsidRPr="00A273D4">
        <w:rPr>
          <w:rFonts w:ascii="Arial" w:hAnsi="Arial" w:cs="Arial"/>
          <w:szCs w:val="22"/>
        </w:rPr>
        <w:instrText xml:space="preserve"> HYPERLINK "http://www.legislation.govt.nz/regulation/public/2010/0036/73.0/DLM2763649.html" </w:instrText>
      </w:r>
      <w:r w:rsidRPr="00A273D4">
        <w:rPr>
          <w:rFonts w:ascii="Arial" w:hAnsi="Arial" w:cs="Arial"/>
          <w:szCs w:val="22"/>
        </w:rPr>
        <w:fldChar w:fldCharType="separate"/>
      </w:r>
      <w:r w:rsidR="00F01A5E" w:rsidRPr="00A273D4">
        <w:rPr>
          <w:rStyle w:val="Hyperlink"/>
          <w:rFonts w:ascii="Arial" w:hAnsi="Arial" w:cs="Arial"/>
          <w:szCs w:val="22"/>
        </w:rPr>
        <w:t>Clause 25: Specific installations, fittings, and appliances deemed to be electrically safe</w:t>
      </w:r>
    </w:p>
    <w:p w14:paraId="34401BEF" w14:textId="4C9A764B" w:rsidR="00F01A5E" w:rsidRPr="00A273D4" w:rsidRDefault="008D6753" w:rsidP="00F2122C">
      <w:pPr>
        <w:pStyle w:val="Resourcelist-L2"/>
        <w:numPr>
          <w:ilvl w:val="0"/>
          <w:numId w:val="33"/>
        </w:numPr>
        <w:ind w:left="540" w:hanging="540"/>
        <w:rPr>
          <w:rStyle w:val="Hyperlink"/>
          <w:rFonts w:ascii="Arial" w:hAnsi="Arial" w:cs="Arial"/>
          <w:szCs w:val="22"/>
        </w:rPr>
      </w:pPr>
      <w:r w:rsidRPr="00A273D4">
        <w:rPr>
          <w:rFonts w:ascii="Arial" w:hAnsi="Arial" w:cs="Arial"/>
          <w:szCs w:val="22"/>
        </w:rPr>
        <w:fldChar w:fldCharType="end"/>
      </w:r>
      <w:r w:rsidRPr="00A273D4">
        <w:rPr>
          <w:rStyle w:val="Hyperlink"/>
          <w:rFonts w:ascii="Arial" w:hAnsi="Arial" w:cs="Arial"/>
          <w:szCs w:val="22"/>
        </w:rPr>
        <w:fldChar w:fldCharType="begin"/>
      </w:r>
      <w:r w:rsidRPr="00A273D4">
        <w:rPr>
          <w:rStyle w:val="Hyperlink"/>
          <w:rFonts w:ascii="Arial" w:hAnsi="Arial" w:cs="Arial"/>
          <w:szCs w:val="22"/>
        </w:rPr>
        <w:instrText xml:space="preserve"> HYPERLINK "http://www.legislation.govt.nz/regulation/public/2010/0036/73.0/DLM2763691.html" </w:instrText>
      </w:r>
      <w:r w:rsidRPr="00A273D4">
        <w:rPr>
          <w:rStyle w:val="Hyperlink"/>
          <w:rFonts w:ascii="Arial" w:hAnsi="Arial" w:cs="Arial"/>
          <w:szCs w:val="22"/>
        </w:rPr>
        <w:fldChar w:fldCharType="separate"/>
      </w:r>
      <w:r w:rsidR="00F01A5E" w:rsidRPr="00A273D4">
        <w:rPr>
          <w:rStyle w:val="Hyperlink"/>
          <w:rFonts w:ascii="Arial" w:hAnsi="Arial" w:cs="Arial"/>
          <w:szCs w:val="22"/>
        </w:rPr>
        <w:t>Clause 60: Certain installations must comply with Part 2 of AS/NZS 3000</w:t>
      </w:r>
    </w:p>
    <w:p w14:paraId="1A7C759F" w14:textId="3EDF4500" w:rsidR="00F01A5E" w:rsidRPr="00A273D4" w:rsidRDefault="008D6753" w:rsidP="00F2122C">
      <w:pPr>
        <w:pStyle w:val="Resourcelist-L2"/>
        <w:numPr>
          <w:ilvl w:val="0"/>
          <w:numId w:val="33"/>
        </w:numPr>
        <w:ind w:left="540" w:hanging="540"/>
        <w:rPr>
          <w:rStyle w:val="Hyperlink"/>
          <w:rFonts w:ascii="Arial" w:hAnsi="Arial" w:cs="Arial"/>
          <w:szCs w:val="22"/>
        </w:rPr>
      </w:pPr>
      <w:r w:rsidRPr="00A273D4">
        <w:rPr>
          <w:rStyle w:val="Hyperlink"/>
          <w:rFonts w:ascii="Arial" w:hAnsi="Arial" w:cs="Arial"/>
          <w:szCs w:val="22"/>
        </w:rPr>
        <w:fldChar w:fldCharType="end"/>
      </w:r>
      <w:r w:rsidR="00897760" w:rsidRPr="00A273D4">
        <w:rPr>
          <w:rStyle w:val="Hyperlink"/>
          <w:rFonts w:ascii="Arial" w:hAnsi="Arial" w:cs="Arial"/>
          <w:szCs w:val="22"/>
        </w:rPr>
        <w:fldChar w:fldCharType="begin"/>
      </w:r>
      <w:r w:rsidR="00897760" w:rsidRPr="00A273D4">
        <w:rPr>
          <w:rStyle w:val="Hyperlink"/>
          <w:rFonts w:ascii="Arial" w:hAnsi="Arial" w:cs="Arial"/>
          <w:szCs w:val="22"/>
        </w:rPr>
        <w:instrText xml:space="preserve"> HYPERLINK "http://www.legislation.govt.nz/regulation/public/2010/0036/73.0/DLM2763710.html" </w:instrText>
      </w:r>
      <w:r w:rsidR="00897760" w:rsidRPr="00A273D4">
        <w:rPr>
          <w:rStyle w:val="Hyperlink"/>
          <w:rFonts w:ascii="Arial" w:hAnsi="Arial" w:cs="Arial"/>
          <w:szCs w:val="22"/>
        </w:rPr>
        <w:fldChar w:fldCharType="separate"/>
      </w:r>
      <w:r w:rsidR="00F01A5E" w:rsidRPr="00A273D4">
        <w:rPr>
          <w:rStyle w:val="Hyperlink"/>
          <w:rFonts w:ascii="Arial" w:hAnsi="Arial" w:cs="Arial"/>
          <w:szCs w:val="22"/>
        </w:rPr>
        <w:t>Clause 75: Periodic assessments of certain installations</w:t>
      </w:r>
    </w:p>
    <w:p w14:paraId="33B9076A" w14:textId="47822840" w:rsidR="00F01A5E" w:rsidRPr="00232F4C" w:rsidRDefault="00897760" w:rsidP="00F2122C">
      <w:pPr>
        <w:pStyle w:val="Resourcelist-L2"/>
        <w:numPr>
          <w:ilvl w:val="0"/>
          <w:numId w:val="33"/>
        </w:numPr>
        <w:ind w:left="540" w:hanging="540"/>
        <w:rPr>
          <w:rStyle w:val="Hyperlink"/>
          <w:rFonts w:ascii="Arial" w:hAnsi="Arial" w:cs="Arial"/>
          <w:szCs w:val="22"/>
        </w:rPr>
      </w:pPr>
      <w:r w:rsidRPr="00A273D4">
        <w:rPr>
          <w:rStyle w:val="Hyperlink"/>
          <w:rFonts w:ascii="Arial" w:hAnsi="Arial" w:cs="Arial"/>
          <w:szCs w:val="22"/>
        </w:rPr>
        <w:fldChar w:fldCharType="end"/>
      </w:r>
      <w:r w:rsidR="00F01A5E" w:rsidRPr="00232F4C">
        <w:rPr>
          <w:rStyle w:val="Hyperlink"/>
          <w:rFonts w:ascii="Arial" w:hAnsi="Arial" w:cs="Arial"/>
          <w:szCs w:val="22"/>
        </w:rPr>
        <w:t>Clause 91: Periodic assessment of electrical medical devices</w:t>
      </w:r>
    </w:p>
    <w:p w14:paraId="41580CC1" w14:textId="39301066" w:rsidR="006E06F9" w:rsidRPr="00232F4C" w:rsidRDefault="00CF1416" w:rsidP="00232F4C">
      <w:pPr>
        <w:pStyle w:val="Resourcelist"/>
        <w:spacing w:before="120" w:after="120"/>
        <w:rPr>
          <w:rStyle w:val="Hyperlink"/>
          <w:rFonts w:ascii="Arial" w:hAnsi="Arial" w:cs="Arial"/>
          <w:color w:val="0000FF"/>
        </w:rPr>
      </w:pPr>
      <w:hyperlink r:id="rId173" w:history="1">
        <w:r w:rsidR="006E06F9" w:rsidRPr="00232F4C">
          <w:rPr>
            <w:rStyle w:val="Hyperlink"/>
            <w:rFonts w:ascii="Arial" w:hAnsi="Arial" w:cs="Arial"/>
            <w:color w:val="0000FF"/>
          </w:rPr>
          <w:t>Worksafe NZ, RCD Safety</w:t>
        </w:r>
      </w:hyperlink>
    </w:p>
    <w:p w14:paraId="26AD80F9" w14:textId="77777777" w:rsidR="00F01A5E" w:rsidRPr="00232F4C" w:rsidRDefault="00CF1416" w:rsidP="0024030C">
      <w:pPr>
        <w:pStyle w:val="Resourcelist"/>
        <w:spacing w:after="120"/>
        <w:rPr>
          <w:rStyle w:val="Hyperlink"/>
          <w:rFonts w:ascii="Arial" w:hAnsi="Arial" w:cs="Arial"/>
          <w:color w:val="0000FF"/>
        </w:rPr>
      </w:pPr>
      <w:hyperlink r:id="rId174" w:history="1">
        <w:r w:rsidR="00F01A5E" w:rsidRPr="00232F4C">
          <w:rPr>
            <w:rStyle w:val="Hyperlink"/>
            <w:rFonts w:ascii="Arial" w:hAnsi="Arial" w:cs="Arial"/>
            <w:color w:val="0000FF"/>
          </w:rPr>
          <w:t>Energy Safety – Using RCDs (2006)</w:t>
        </w:r>
      </w:hyperlink>
    </w:p>
    <w:p w14:paraId="6F499510" w14:textId="77777777" w:rsidR="002C008E" w:rsidRDefault="002C008E">
      <w:pPr>
        <w:spacing w:after="0"/>
        <w:rPr>
          <w:b/>
          <w:color w:val="EE7624"/>
          <w:sz w:val="28"/>
        </w:rPr>
      </w:pPr>
      <w:r>
        <w:rPr>
          <w:b/>
          <w:color w:val="EE7624"/>
          <w:sz w:val="28"/>
        </w:rPr>
        <w:br w:type="page"/>
      </w:r>
    </w:p>
    <w:p w14:paraId="05E32C09" w14:textId="06B5496E" w:rsidR="001F7077" w:rsidRPr="00C55F31" w:rsidRDefault="007F3358" w:rsidP="00F2122C">
      <w:pPr>
        <w:pStyle w:val="HHLSubHeading"/>
        <w:numPr>
          <w:ilvl w:val="0"/>
          <w:numId w:val="0"/>
        </w:numPr>
        <w:tabs>
          <w:tab w:val="left" w:pos="1560"/>
        </w:tabs>
      </w:pPr>
      <w:bookmarkStart w:id="65" w:name="_Toc6998684"/>
      <w:r w:rsidRPr="00C55F31">
        <w:lastRenderedPageBreak/>
        <w:t>Indicator 2</w:t>
      </w:r>
      <w:r w:rsidR="00C447AF">
        <w:t>3</w:t>
      </w:r>
      <w:r w:rsidRPr="00C55F31">
        <w:t>.</w:t>
      </w:r>
      <w:r w:rsidR="00F2122C">
        <w:tab/>
      </w:r>
      <w:r w:rsidR="001F7077" w:rsidRPr="00C55F31">
        <w:t>Cold chain</w:t>
      </w:r>
      <w:bookmarkEnd w:id="65"/>
    </w:p>
    <w:p w14:paraId="46D76D5F" w14:textId="68DF536F" w:rsidR="007F3358" w:rsidRPr="001F7077" w:rsidRDefault="00E60860" w:rsidP="001F7077">
      <w:pPr>
        <w:pStyle w:val="HHLBodyText"/>
        <w:rPr>
          <w:b/>
        </w:rPr>
      </w:pPr>
      <w:r w:rsidRPr="001F7077">
        <w:rPr>
          <w:b/>
        </w:rPr>
        <w:t xml:space="preserve">Our practice maintains cold chain accreditation in accordance with the Ministry of Heath </w:t>
      </w:r>
      <w:r>
        <w:rPr>
          <w:b/>
        </w:rPr>
        <w:t xml:space="preserve">National Standards for National Immunisation Programme </w:t>
      </w:r>
      <w:r w:rsidRPr="001F7077">
        <w:rPr>
          <w:b/>
        </w:rPr>
        <w:t>cold chain management</w:t>
      </w:r>
      <w:r w:rsidR="007F3358" w:rsidRPr="001F7077">
        <w:rPr>
          <w:b/>
        </w:rPr>
        <w:t>.</w:t>
      </w:r>
    </w:p>
    <w:tbl>
      <w:tblPr>
        <w:tblStyle w:val="TableGrid1"/>
        <w:tblW w:w="0" w:type="auto"/>
        <w:tblLook w:val="04A0" w:firstRow="1" w:lastRow="0" w:firstColumn="1" w:lastColumn="0" w:noHBand="0" w:noVBand="1"/>
      </w:tblPr>
      <w:tblGrid>
        <w:gridCol w:w="1151"/>
        <w:gridCol w:w="4540"/>
        <w:gridCol w:w="4051"/>
      </w:tblGrid>
      <w:tr w:rsidR="007F3358" w:rsidRPr="00A81435" w14:paraId="3909A767" w14:textId="77777777" w:rsidTr="0091781A">
        <w:tc>
          <w:tcPr>
            <w:tcW w:w="1153" w:type="dxa"/>
            <w:shd w:val="clear" w:color="auto" w:fill="FBD4B4" w:themeFill="accent6" w:themeFillTint="66"/>
          </w:tcPr>
          <w:p w14:paraId="518BA90E" w14:textId="77777777" w:rsidR="007F3358" w:rsidRPr="00A81435" w:rsidRDefault="007F3358" w:rsidP="0091781A">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75E16C3A" w14:textId="77777777" w:rsidR="007F3358" w:rsidRPr="00A81435" w:rsidRDefault="007F3358" w:rsidP="0091781A">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6401EDB8" w14:textId="52C2DF00" w:rsidR="007F3358" w:rsidRPr="00A81435" w:rsidRDefault="007F3358" w:rsidP="0091781A">
            <w:pPr>
              <w:spacing w:before="120" w:after="120"/>
              <w:rPr>
                <w:b/>
                <w:color w:val="auto"/>
                <w:sz w:val="22"/>
                <w:szCs w:val="22"/>
              </w:rPr>
            </w:pPr>
            <w:r w:rsidRPr="00A81435">
              <w:rPr>
                <w:b/>
                <w:color w:val="auto"/>
                <w:sz w:val="22"/>
                <w:szCs w:val="22"/>
              </w:rPr>
              <w:t>Required evidence</w:t>
            </w:r>
          </w:p>
        </w:tc>
      </w:tr>
      <w:tr w:rsidR="007F3358" w:rsidRPr="00A81435" w14:paraId="21FE6F9E" w14:textId="77777777" w:rsidTr="0091781A">
        <w:tc>
          <w:tcPr>
            <w:tcW w:w="1153" w:type="dxa"/>
          </w:tcPr>
          <w:p w14:paraId="4267E20D" w14:textId="3BD982A6" w:rsidR="007F3358" w:rsidRPr="00A81435" w:rsidRDefault="007F3358" w:rsidP="0091781A">
            <w:pPr>
              <w:spacing w:before="60"/>
              <w:rPr>
                <w:color w:val="auto"/>
                <w:sz w:val="22"/>
                <w:szCs w:val="22"/>
              </w:rPr>
            </w:pPr>
            <w:r>
              <w:rPr>
                <w:color w:val="auto"/>
                <w:sz w:val="22"/>
                <w:szCs w:val="22"/>
              </w:rPr>
              <w:t>2</w:t>
            </w:r>
            <w:r w:rsidR="00C447AF">
              <w:rPr>
                <w:color w:val="auto"/>
                <w:sz w:val="22"/>
                <w:szCs w:val="22"/>
              </w:rPr>
              <w:t>3</w:t>
            </w:r>
            <w:r w:rsidRPr="00A81435">
              <w:rPr>
                <w:color w:val="auto"/>
                <w:sz w:val="22"/>
                <w:szCs w:val="22"/>
              </w:rPr>
              <w:t>.1</w:t>
            </w:r>
          </w:p>
        </w:tc>
        <w:tc>
          <w:tcPr>
            <w:tcW w:w="4568" w:type="dxa"/>
          </w:tcPr>
          <w:p w14:paraId="2657D914" w14:textId="499D7ACC" w:rsidR="007F3358" w:rsidRPr="00D53B42" w:rsidRDefault="00BE3E6D" w:rsidP="0091781A">
            <w:pPr>
              <w:tabs>
                <w:tab w:val="left" w:pos="151"/>
              </w:tabs>
              <w:spacing w:before="60"/>
              <w:rPr>
                <w:rFonts w:cs="Arial"/>
                <w:color w:val="auto"/>
                <w:sz w:val="22"/>
                <w:szCs w:val="22"/>
              </w:rPr>
            </w:pPr>
            <w:r>
              <w:rPr>
                <w:rFonts w:cs="Arial"/>
                <w:color w:val="auto"/>
                <w:sz w:val="22"/>
                <w:szCs w:val="22"/>
              </w:rPr>
              <w:t xml:space="preserve">Ensure they </w:t>
            </w:r>
            <w:r w:rsidR="003731A7">
              <w:rPr>
                <w:rFonts w:cs="Arial"/>
                <w:color w:val="auto"/>
                <w:sz w:val="22"/>
                <w:szCs w:val="22"/>
              </w:rPr>
              <w:t>hold</w:t>
            </w:r>
            <w:r>
              <w:rPr>
                <w:rFonts w:cs="Arial"/>
                <w:color w:val="auto"/>
                <w:sz w:val="22"/>
                <w:szCs w:val="22"/>
              </w:rPr>
              <w:t xml:space="preserve"> a </w:t>
            </w:r>
            <w:r w:rsidR="00D53B42" w:rsidRPr="00D53B42">
              <w:rPr>
                <w:rFonts w:cs="Arial"/>
                <w:color w:val="auto"/>
                <w:sz w:val="22"/>
                <w:szCs w:val="22"/>
              </w:rPr>
              <w:t>current cold chain accreditation</w:t>
            </w:r>
            <w:r w:rsidR="00740C7E">
              <w:rPr>
                <w:rFonts w:cs="Arial"/>
                <w:color w:val="auto"/>
                <w:sz w:val="22"/>
                <w:szCs w:val="22"/>
              </w:rPr>
              <w:t>.</w:t>
            </w:r>
          </w:p>
        </w:tc>
        <w:tc>
          <w:tcPr>
            <w:tcW w:w="4075" w:type="dxa"/>
          </w:tcPr>
          <w:p w14:paraId="0D9EE2AB" w14:textId="299929DB" w:rsidR="007F3358" w:rsidRDefault="00B82429" w:rsidP="00BE3E6D">
            <w:pPr>
              <w:pStyle w:val="CommentText"/>
              <w:rPr>
                <w:color w:val="auto"/>
                <w:sz w:val="22"/>
                <w:szCs w:val="22"/>
              </w:rPr>
            </w:pPr>
            <w:r>
              <w:rPr>
                <w:color w:val="auto"/>
                <w:sz w:val="22"/>
                <w:szCs w:val="22"/>
              </w:rPr>
              <w:t xml:space="preserve">A current </w:t>
            </w:r>
            <w:r w:rsidR="00790D22">
              <w:rPr>
                <w:color w:val="auto"/>
                <w:sz w:val="22"/>
                <w:szCs w:val="22"/>
              </w:rPr>
              <w:t>c</w:t>
            </w:r>
            <w:r w:rsidR="00AE26C2">
              <w:rPr>
                <w:color w:val="auto"/>
                <w:sz w:val="22"/>
                <w:szCs w:val="22"/>
              </w:rPr>
              <w:t>old chain certificate.</w:t>
            </w:r>
          </w:p>
          <w:p w14:paraId="132F8B44" w14:textId="7FEF17B3" w:rsidR="00740C7E" w:rsidRPr="00A81435" w:rsidRDefault="00F2267D" w:rsidP="00BE3E6D">
            <w:pPr>
              <w:pStyle w:val="CommentText"/>
              <w:rPr>
                <w:color w:val="auto"/>
                <w:sz w:val="22"/>
                <w:szCs w:val="22"/>
              </w:rPr>
            </w:pPr>
            <w:r>
              <w:rPr>
                <w:color w:val="auto"/>
                <w:sz w:val="22"/>
                <w:szCs w:val="22"/>
              </w:rPr>
              <w:t>Documented records displaying</w:t>
            </w:r>
            <w:r w:rsidR="00740C7E">
              <w:rPr>
                <w:color w:val="auto"/>
                <w:sz w:val="22"/>
                <w:szCs w:val="22"/>
              </w:rPr>
              <w:t xml:space="preserve"> temperature monitoring.</w:t>
            </w:r>
          </w:p>
        </w:tc>
      </w:tr>
    </w:tbl>
    <w:p w14:paraId="1A7CD6F1" w14:textId="77777777" w:rsidR="007B29D4" w:rsidRPr="005B2DE1" w:rsidRDefault="007B29D4" w:rsidP="007B29D4">
      <w:pPr>
        <w:pStyle w:val="HHLBodyText"/>
        <w:spacing w:before="240"/>
        <w:rPr>
          <w:b/>
          <w:sz w:val="22"/>
          <w:szCs w:val="22"/>
        </w:rPr>
      </w:pPr>
      <w:r w:rsidRPr="005B2DE1">
        <w:rPr>
          <w:b/>
          <w:sz w:val="22"/>
          <w:szCs w:val="22"/>
        </w:rPr>
        <w:t>Required training</w:t>
      </w:r>
    </w:p>
    <w:p w14:paraId="5CC92B57" w14:textId="6451859C" w:rsidR="00740C7E" w:rsidRPr="00AB58F8" w:rsidRDefault="00C80464" w:rsidP="00740C7E">
      <w:pPr>
        <w:pStyle w:val="NormalWeb"/>
        <w:shd w:val="clear" w:color="auto" w:fill="FFFFFF"/>
        <w:spacing w:before="120" w:beforeAutospacing="0" w:after="120" w:afterAutospacing="0"/>
        <w:rPr>
          <w:rFonts w:ascii="Arial" w:hAnsi="Arial" w:cs="Arial"/>
          <w:sz w:val="22"/>
          <w:szCs w:val="22"/>
        </w:rPr>
      </w:pPr>
      <w:r w:rsidRPr="00AB58F8">
        <w:rPr>
          <w:rFonts w:ascii="Arial" w:hAnsi="Arial" w:cs="Arial"/>
          <w:sz w:val="22"/>
          <w:szCs w:val="22"/>
        </w:rPr>
        <w:t>Practices</w:t>
      </w:r>
      <w:r w:rsidR="00740C7E" w:rsidRPr="00AB58F8">
        <w:rPr>
          <w:rFonts w:ascii="Arial" w:hAnsi="Arial" w:cs="Arial"/>
          <w:sz w:val="22"/>
          <w:szCs w:val="22"/>
        </w:rPr>
        <w:t xml:space="preserve"> storing and/or administering vaccines must be familiar and compliant with the following documents:</w:t>
      </w:r>
    </w:p>
    <w:p w14:paraId="2C9085E5" w14:textId="77777777" w:rsidR="00740C7E" w:rsidRPr="005A57F1" w:rsidRDefault="00CF1416" w:rsidP="00F2122C">
      <w:pPr>
        <w:numPr>
          <w:ilvl w:val="0"/>
          <w:numId w:val="22"/>
        </w:numPr>
        <w:shd w:val="clear" w:color="auto" w:fill="FFFFFF"/>
        <w:tabs>
          <w:tab w:val="clear" w:pos="720"/>
          <w:tab w:val="num" w:pos="540"/>
        </w:tabs>
        <w:spacing w:before="120" w:after="100" w:afterAutospacing="1"/>
        <w:ind w:left="0" w:firstLine="0"/>
        <w:rPr>
          <w:rFonts w:cs="Arial"/>
          <w:color w:val="0000FF"/>
          <w:sz w:val="22"/>
          <w:szCs w:val="22"/>
        </w:rPr>
      </w:pPr>
      <w:hyperlink r:id="rId175" w:history="1">
        <w:r w:rsidR="00740C7E" w:rsidRPr="005A57F1">
          <w:rPr>
            <w:rStyle w:val="Hyperlink"/>
            <w:rFonts w:cs="Arial"/>
            <w:color w:val="0000FF"/>
            <w:sz w:val="22"/>
            <w:szCs w:val="22"/>
          </w:rPr>
          <w:t>National Standards for Vaccine Storage and Transportation for Immunisation Providers 2017</w:t>
        </w:r>
      </w:hyperlink>
    </w:p>
    <w:p w14:paraId="3F6D5B23" w14:textId="77777777" w:rsidR="00740C7E" w:rsidRPr="005A57F1" w:rsidRDefault="00CF1416" w:rsidP="00F2122C">
      <w:pPr>
        <w:numPr>
          <w:ilvl w:val="0"/>
          <w:numId w:val="22"/>
        </w:numPr>
        <w:shd w:val="clear" w:color="auto" w:fill="FFFFFF"/>
        <w:tabs>
          <w:tab w:val="clear" w:pos="720"/>
          <w:tab w:val="num" w:pos="540"/>
        </w:tabs>
        <w:spacing w:before="120" w:after="100" w:afterAutospacing="1"/>
        <w:ind w:left="0" w:firstLine="0"/>
        <w:rPr>
          <w:rStyle w:val="Hyperlink"/>
          <w:rFonts w:cs="Arial"/>
          <w:color w:val="0000FF"/>
          <w:sz w:val="22"/>
          <w:szCs w:val="22"/>
        </w:rPr>
      </w:pPr>
      <w:hyperlink r:id="rId176" w:history="1">
        <w:r w:rsidR="00740C7E" w:rsidRPr="005A57F1">
          <w:rPr>
            <w:rStyle w:val="Hyperlink"/>
            <w:rFonts w:cs="Arial"/>
            <w:color w:val="0000FF"/>
            <w:sz w:val="22"/>
            <w:szCs w:val="22"/>
          </w:rPr>
          <w:t>Annual Cold Chain Management Record</w:t>
        </w:r>
      </w:hyperlink>
    </w:p>
    <w:p w14:paraId="614E295A" w14:textId="77777777" w:rsidR="00740C7E" w:rsidRPr="005A57F1" w:rsidRDefault="00CF1416" w:rsidP="00F2122C">
      <w:pPr>
        <w:numPr>
          <w:ilvl w:val="0"/>
          <w:numId w:val="22"/>
        </w:numPr>
        <w:shd w:val="clear" w:color="auto" w:fill="FFFFFF"/>
        <w:tabs>
          <w:tab w:val="clear" w:pos="720"/>
          <w:tab w:val="num" w:pos="540"/>
        </w:tabs>
        <w:spacing w:before="120" w:after="100" w:afterAutospacing="1"/>
        <w:ind w:left="0" w:firstLine="0"/>
        <w:rPr>
          <w:rStyle w:val="Hyperlink"/>
          <w:rFonts w:cs="Arial"/>
          <w:color w:val="0000FF"/>
          <w:sz w:val="22"/>
          <w:szCs w:val="22"/>
        </w:rPr>
      </w:pPr>
      <w:hyperlink r:id="rId177" w:history="1">
        <w:r w:rsidR="00740C7E" w:rsidRPr="005A57F1">
          <w:rPr>
            <w:rStyle w:val="Hyperlink"/>
            <w:rFonts w:cs="Arial"/>
            <w:color w:val="0000FF"/>
            <w:sz w:val="22"/>
            <w:szCs w:val="22"/>
          </w:rPr>
          <w:t>Cold chain management policy template (Word, 227 KB)</w:t>
        </w:r>
      </w:hyperlink>
      <w:r w:rsidR="00740C7E" w:rsidRPr="005A57F1">
        <w:rPr>
          <w:rStyle w:val="Hyperlink"/>
          <w:rFonts w:cs="Arial"/>
          <w:color w:val="0000FF"/>
          <w:sz w:val="22"/>
          <w:szCs w:val="22"/>
        </w:rPr>
        <w:t>.</w:t>
      </w:r>
    </w:p>
    <w:p w14:paraId="681014B3" w14:textId="773CB5B5" w:rsidR="007F3358" w:rsidRDefault="007F3358" w:rsidP="007F3358">
      <w:pPr>
        <w:spacing w:before="240" w:after="120"/>
        <w:rPr>
          <w:b/>
          <w:color w:val="auto"/>
          <w:sz w:val="22"/>
          <w:szCs w:val="22"/>
        </w:rPr>
      </w:pPr>
      <w:r w:rsidRPr="00A81435">
        <w:rPr>
          <w:b/>
          <w:color w:val="auto"/>
          <w:sz w:val="22"/>
          <w:szCs w:val="22"/>
        </w:rPr>
        <w:t>Guidance notes</w:t>
      </w:r>
    </w:p>
    <w:p w14:paraId="08776FD2" w14:textId="131F90D8" w:rsidR="00AE26C2" w:rsidRPr="0023092F" w:rsidRDefault="00AE26C2" w:rsidP="00AE26C2">
      <w:pPr>
        <w:rPr>
          <w:color w:val="auto"/>
          <w:sz w:val="22"/>
          <w:szCs w:val="22"/>
        </w:rPr>
      </w:pPr>
      <w:r w:rsidRPr="0023092F">
        <w:rPr>
          <w:color w:val="auto"/>
          <w:sz w:val="22"/>
          <w:szCs w:val="22"/>
        </w:rPr>
        <w:t>Cold Chain Accreditation (CCA) is a process that allows providers of immunisation to demonstrate their management of vaccine storage in accordance with existing national cold chain standards</w:t>
      </w:r>
      <w:r w:rsidR="00E512D8">
        <w:rPr>
          <w:color w:val="auto"/>
          <w:sz w:val="22"/>
          <w:szCs w:val="22"/>
        </w:rPr>
        <w:t>, including off site vaccination</w:t>
      </w:r>
      <w:r w:rsidR="00E512D8" w:rsidRPr="0023092F">
        <w:rPr>
          <w:color w:val="auto"/>
          <w:sz w:val="22"/>
          <w:szCs w:val="22"/>
        </w:rPr>
        <w:t>.</w:t>
      </w:r>
    </w:p>
    <w:p w14:paraId="69098D99" w14:textId="77777777" w:rsidR="00AE26C2" w:rsidRPr="0023092F" w:rsidRDefault="00AE26C2" w:rsidP="0023092F">
      <w:pPr>
        <w:spacing w:before="120"/>
        <w:rPr>
          <w:color w:val="auto"/>
          <w:sz w:val="22"/>
          <w:szCs w:val="22"/>
        </w:rPr>
      </w:pPr>
      <w:r w:rsidRPr="0023092F">
        <w:rPr>
          <w:color w:val="auto"/>
          <w:sz w:val="22"/>
          <w:szCs w:val="22"/>
        </w:rPr>
        <w:t>The CCA process aims to minimise the levels of vaccine wastage and ensures the provision of effective vaccines for the National Immunisation Schedule Vaccines.</w:t>
      </w:r>
    </w:p>
    <w:p w14:paraId="2E8A1D45" w14:textId="04B8C41E" w:rsidR="00AE26C2" w:rsidRPr="0023092F" w:rsidRDefault="00AE26C2" w:rsidP="0023092F">
      <w:pPr>
        <w:spacing w:before="120"/>
        <w:rPr>
          <w:color w:val="auto"/>
          <w:sz w:val="22"/>
          <w:szCs w:val="22"/>
        </w:rPr>
      </w:pPr>
      <w:r w:rsidRPr="0023092F">
        <w:rPr>
          <w:color w:val="auto"/>
          <w:sz w:val="22"/>
          <w:szCs w:val="22"/>
        </w:rPr>
        <w:t>All pr</w:t>
      </w:r>
      <w:r w:rsidR="00C64D29">
        <w:rPr>
          <w:color w:val="auto"/>
          <w:sz w:val="22"/>
          <w:szCs w:val="22"/>
        </w:rPr>
        <w:t>actices</w:t>
      </w:r>
      <w:r w:rsidRPr="0023092F">
        <w:rPr>
          <w:color w:val="auto"/>
          <w:sz w:val="22"/>
          <w:szCs w:val="22"/>
        </w:rPr>
        <w:t xml:space="preserve"> who store vaccines and/or offer immunisation services must achieve CCA.</w:t>
      </w:r>
    </w:p>
    <w:p w14:paraId="0391AF1F" w14:textId="280314DA" w:rsidR="00AE26C2" w:rsidRPr="0023092F" w:rsidRDefault="00AE26C2" w:rsidP="0023092F">
      <w:pPr>
        <w:spacing w:before="120"/>
        <w:rPr>
          <w:color w:val="auto"/>
          <w:sz w:val="22"/>
          <w:szCs w:val="22"/>
        </w:rPr>
      </w:pPr>
      <w:r w:rsidRPr="0023092F">
        <w:rPr>
          <w:color w:val="auto"/>
          <w:sz w:val="22"/>
          <w:szCs w:val="22"/>
        </w:rPr>
        <w:t xml:space="preserve">Compliance with </w:t>
      </w:r>
      <w:r w:rsidR="00A5029D">
        <w:rPr>
          <w:color w:val="auto"/>
          <w:sz w:val="22"/>
          <w:szCs w:val="22"/>
        </w:rPr>
        <w:t>c</w:t>
      </w:r>
      <w:r w:rsidRPr="0023092F">
        <w:rPr>
          <w:color w:val="auto"/>
          <w:sz w:val="22"/>
          <w:szCs w:val="22"/>
        </w:rPr>
        <w:t xml:space="preserve">old </w:t>
      </w:r>
      <w:r w:rsidR="00A5029D">
        <w:rPr>
          <w:color w:val="auto"/>
          <w:sz w:val="22"/>
          <w:szCs w:val="22"/>
        </w:rPr>
        <w:t>c</w:t>
      </w:r>
      <w:r w:rsidRPr="0023092F">
        <w:rPr>
          <w:color w:val="auto"/>
          <w:sz w:val="22"/>
          <w:szCs w:val="22"/>
        </w:rPr>
        <w:t>hain standards will be demonstrated through a practice/provider self-assessment followed by a review by a local Immunisation Facilitator/Coordinator. Cold Chain Accreditation will be valid for up to three years, based on the CAA reviewer’s findings.</w:t>
      </w:r>
    </w:p>
    <w:p w14:paraId="62A047F8" w14:textId="77777777" w:rsidR="00AE26C2" w:rsidRDefault="00AE26C2" w:rsidP="00AE26C2">
      <w:pPr>
        <w:spacing w:before="240" w:after="120"/>
        <w:rPr>
          <w:b/>
          <w:color w:val="auto"/>
          <w:sz w:val="22"/>
          <w:szCs w:val="22"/>
        </w:rPr>
      </w:pPr>
      <w:r w:rsidRPr="00A81435">
        <w:rPr>
          <w:b/>
          <w:color w:val="auto"/>
          <w:sz w:val="22"/>
          <w:szCs w:val="22"/>
        </w:rPr>
        <w:t>Resources</w:t>
      </w:r>
    </w:p>
    <w:p w14:paraId="10C0DC04" w14:textId="4EABF95B" w:rsidR="00740C7E" w:rsidRPr="004D58EB" w:rsidRDefault="00CF1416" w:rsidP="0024030C">
      <w:pPr>
        <w:pStyle w:val="Resourcelist"/>
        <w:spacing w:after="120"/>
        <w:rPr>
          <w:rStyle w:val="Hyperlink"/>
          <w:rFonts w:ascii="Arial" w:hAnsi="Arial" w:cs="Arial"/>
          <w:color w:val="0000FF"/>
        </w:rPr>
      </w:pPr>
      <w:hyperlink r:id="rId178" w:history="1">
        <w:r w:rsidR="00740C7E" w:rsidRPr="004D58EB">
          <w:rPr>
            <w:rStyle w:val="Hyperlink"/>
            <w:rFonts w:ascii="Arial" w:hAnsi="Arial" w:cs="Arial"/>
            <w:color w:val="0000FF"/>
          </w:rPr>
          <w:t>Ministry of Health: National Immunisation Programme Cold Chain management</w:t>
        </w:r>
      </w:hyperlink>
    </w:p>
    <w:p w14:paraId="5EC0A7C4" w14:textId="2E41DA8C" w:rsidR="00AE26C2" w:rsidRPr="004D58EB" w:rsidRDefault="00CF1416" w:rsidP="0024030C">
      <w:pPr>
        <w:pStyle w:val="Resourcelist"/>
        <w:spacing w:after="120"/>
        <w:rPr>
          <w:rStyle w:val="Hyperlink"/>
          <w:rFonts w:ascii="Arial" w:hAnsi="Arial" w:cs="Arial"/>
          <w:color w:val="0000FF"/>
        </w:rPr>
      </w:pPr>
      <w:hyperlink r:id="rId179" w:history="1">
        <w:r w:rsidR="00AE26C2" w:rsidRPr="004D58EB">
          <w:rPr>
            <w:rStyle w:val="Hyperlink"/>
            <w:rFonts w:ascii="Arial" w:hAnsi="Arial" w:cs="Arial"/>
            <w:color w:val="0000FF"/>
          </w:rPr>
          <w:t>Immunisation Advisory Centre</w:t>
        </w:r>
      </w:hyperlink>
    </w:p>
    <w:p w14:paraId="372A85D7" w14:textId="71CA09DC" w:rsidR="005A57F1" w:rsidRPr="004D58EB" w:rsidRDefault="00CF1416" w:rsidP="0024030C">
      <w:pPr>
        <w:pStyle w:val="Resourcelist"/>
        <w:spacing w:after="120"/>
        <w:rPr>
          <w:rStyle w:val="Hyperlink"/>
          <w:rFonts w:ascii="Arial" w:hAnsi="Arial" w:cs="Arial"/>
          <w:color w:val="0000FF"/>
        </w:rPr>
      </w:pPr>
      <w:hyperlink r:id="rId180" w:history="1">
        <w:r w:rsidR="005A57F1" w:rsidRPr="004D58EB">
          <w:rPr>
            <w:rStyle w:val="Hyperlink"/>
            <w:rFonts w:ascii="Arial" w:hAnsi="Arial" w:cs="Arial"/>
          </w:rPr>
          <w:t>Ministry of Health: Immunisation Handbook 2017</w:t>
        </w:r>
      </w:hyperlink>
    </w:p>
    <w:p w14:paraId="7B41C1B6" w14:textId="6BDBDF66" w:rsidR="00AE26C2" w:rsidRPr="004D58EB" w:rsidRDefault="00CF1416" w:rsidP="0024030C">
      <w:pPr>
        <w:pStyle w:val="Resourcelist"/>
        <w:spacing w:after="120"/>
        <w:rPr>
          <w:rStyle w:val="Hyperlink"/>
          <w:rFonts w:ascii="Arial" w:hAnsi="Arial" w:cs="Arial"/>
          <w:color w:val="0000FF"/>
        </w:rPr>
      </w:pPr>
      <w:hyperlink r:id="rId181" w:history="1">
        <w:r w:rsidR="00AE26C2" w:rsidRPr="004D58EB">
          <w:rPr>
            <w:rStyle w:val="Hyperlink"/>
            <w:rFonts w:ascii="Arial" w:hAnsi="Arial" w:cs="Arial"/>
            <w:color w:val="0000FF"/>
          </w:rPr>
          <w:t>The Centre for Adverse Reactions Monitoring (CARM)</w:t>
        </w:r>
      </w:hyperlink>
    </w:p>
    <w:p w14:paraId="14CD5604" w14:textId="77777777" w:rsidR="002C008E" w:rsidRDefault="002C008E">
      <w:pPr>
        <w:spacing w:after="0"/>
        <w:rPr>
          <w:b/>
          <w:color w:val="EE7624"/>
          <w:sz w:val="28"/>
        </w:rPr>
      </w:pPr>
    </w:p>
    <w:p w14:paraId="03733690" w14:textId="77777777" w:rsidR="002C008E" w:rsidRDefault="002C008E">
      <w:pPr>
        <w:spacing w:after="0"/>
        <w:rPr>
          <w:b/>
          <w:color w:val="EE7624"/>
          <w:sz w:val="28"/>
        </w:rPr>
      </w:pPr>
      <w:r>
        <w:rPr>
          <w:b/>
          <w:color w:val="EE7624"/>
          <w:sz w:val="28"/>
        </w:rPr>
        <w:br w:type="page"/>
      </w:r>
    </w:p>
    <w:p w14:paraId="49FA99BA" w14:textId="77777777" w:rsidR="00DE3B66" w:rsidRDefault="00DE3B66" w:rsidP="00E6494D">
      <w:pPr>
        <w:pStyle w:val="Heading1"/>
      </w:pPr>
    </w:p>
    <w:p w14:paraId="439F091E" w14:textId="77777777" w:rsidR="00DE3B66" w:rsidRDefault="00DE3B66" w:rsidP="00E6494D">
      <w:pPr>
        <w:pStyle w:val="Heading1"/>
      </w:pPr>
    </w:p>
    <w:p w14:paraId="3E4AF357" w14:textId="77777777" w:rsidR="00DE3B66" w:rsidRDefault="00DE3B66" w:rsidP="00E6494D">
      <w:pPr>
        <w:pStyle w:val="Heading1"/>
      </w:pPr>
    </w:p>
    <w:p w14:paraId="52FEF10C" w14:textId="77777777" w:rsidR="00DE3B66" w:rsidRDefault="00DE3B66" w:rsidP="00E6494D">
      <w:pPr>
        <w:pStyle w:val="Heading1"/>
      </w:pPr>
    </w:p>
    <w:p w14:paraId="4E2E512C" w14:textId="77777777" w:rsidR="00DE3B66" w:rsidRDefault="00DE3B66" w:rsidP="00E6494D">
      <w:pPr>
        <w:pStyle w:val="Heading1"/>
      </w:pPr>
    </w:p>
    <w:p w14:paraId="572A3674" w14:textId="77777777" w:rsidR="00DE3B66" w:rsidRDefault="00DE3B66" w:rsidP="00E6494D">
      <w:pPr>
        <w:pStyle w:val="Heading1"/>
      </w:pPr>
    </w:p>
    <w:p w14:paraId="567F1D84" w14:textId="77777777" w:rsidR="00DE3B66" w:rsidRDefault="00DE3B66" w:rsidP="00E6494D">
      <w:pPr>
        <w:pStyle w:val="Heading1"/>
      </w:pPr>
    </w:p>
    <w:p w14:paraId="374CEF70" w14:textId="77777777" w:rsidR="00DE3B66" w:rsidRDefault="00DE3B66" w:rsidP="00E6494D">
      <w:pPr>
        <w:pStyle w:val="Heading1"/>
      </w:pPr>
    </w:p>
    <w:p w14:paraId="6491E4CA" w14:textId="77777777" w:rsidR="00DE3B66" w:rsidRDefault="00DE3B66" w:rsidP="00E6494D">
      <w:pPr>
        <w:pStyle w:val="Heading1"/>
      </w:pPr>
    </w:p>
    <w:p w14:paraId="2B899D3B" w14:textId="77777777" w:rsidR="00DE3B66" w:rsidRDefault="00DE3B66" w:rsidP="00E6494D">
      <w:pPr>
        <w:pStyle w:val="Heading1"/>
      </w:pPr>
    </w:p>
    <w:p w14:paraId="318890E4" w14:textId="1C8F8505" w:rsidR="00106EDC" w:rsidRDefault="00E6494D" w:rsidP="00E6494D">
      <w:pPr>
        <w:pStyle w:val="Heading1"/>
        <w:rPr>
          <w:b w:val="0"/>
        </w:rPr>
      </w:pPr>
      <w:bookmarkStart w:id="66" w:name="_Toc6998685"/>
      <w:r w:rsidRPr="000C6773">
        <w:t>Section</w:t>
      </w:r>
      <w:r w:rsidRPr="0055408F">
        <w:t xml:space="preserve"> </w:t>
      </w:r>
      <w:r>
        <w:t xml:space="preserve">10: </w:t>
      </w:r>
      <w:r w:rsidRPr="00E6494D">
        <w:rPr>
          <w:b w:val="0"/>
        </w:rPr>
        <w:t>Whakahau rong</w:t>
      </w:r>
      <w:r w:rsidR="00F2681B">
        <w:rPr>
          <w:b w:val="0"/>
        </w:rPr>
        <w:t>o</w:t>
      </w:r>
      <w:r>
        <w:rPr>
          <w:rFonts w:cs="Arial"/>
          <w:b w:val="0"/>
        </w:rPr>
        <w:t>ā</w:t>
      </w:r>
      <w:r w:rsidRPr="00E6494D">
        <w:rPr>
          <w:b w:val="0"/>
        </w:rPr>
        <w:t xml:space="preserve"> |</w:t>
      </w:r>
      <w:r w:rsidRPr="0055408F">
        <w:rPr>
          <w:b w:val="0"/>
        </w:rPr>
        <w:t xml:space="preserve"> </w:t>
      </w:r>
      <w:r>
        <w:rPr>
          <w:b w:val="0"/>
        </w:rPr>
        <w:t>Medicines management</w:t>
      </w:r>
      <w:bookmarkEnd w:id="66"/>
    </w:p>
    <w:p w14:paraId="787C508C" w14:textId="77777777" w:rsidR="00106EDC" w:rsidRDefault="00106EDC">
      <w:pPr>
        <w:spacing w:after="0"/>
        <w:rPr>
          <w:color w:val="EE7624"/>
          <w:sz w:val="56"/>
          <w:szCs w:val="56"/>
        </w:rPr>
      </w:pPr>
      <w:r>
        <w:rPr>
          <w:b/>
        </w:rPr>
        <w:br w:type="page"/>
      </w:r>
    </w:p>
    <w:p w14:paraId="7E3A7879" w14:textId="61026D04" w:rsidR="001F7077" w:rsidRPr="00C55F31" w:rsidRDefault="00100D18" w:rsidP="00F2122C">
      <w:pPr>
        <w:pStyle w:val="HHLSubHeading"/>
        <w:numPr>
          <w:ilvl w:val="0"/>
          <w:numId w:val="0"/>
        </w:numPr>
        <w:tabs>
          <w:tab w:val="left" w:pos="1560"/>
        </w:tabs>
      </w:pPr>
      <w:bookmarkStart w:id="67" w:name="_Toc6998686"/>
      <w:r w:rsidRPr="00C55F31">
        <w:lastRenderedPageBreak/>
        <w:t>Indicator 2</w:t>
      </w:r>
      <w:r w:rsidR="00C447AF">
        <w:t>4</w:t>
      </w:r>
      <w:r w:rsidRPr="00C55F31">
        <w:t>.</w:t>
      </w:r>
      <w:r w:rsidR="00F2122C">
        <w:tab/>
      </w:r>
      <w:r w:rsidR="001F7077" w:rsidRPr="00C55F31">
        <w:t xml:space="preserve">Prescribing and medicine </w:t>
      </w:r>
      <w:r w:rsidR="00573E02" w:rsidRPr="00C55F31">
        <w:t>reconciliation</w:t>
      </w:r>
      <w:bookmarkEnd w:id="67"/>
    </w:p>
    <w:p w14:paraId="46485326" w14:textId="0137F871" w:rsidR="00100D18" w:rsidRPr="001F7077" w:rsidRDefault="0057173F" w:rsidP="001F7077">
      <w:pPr>
        <w:pStyle w:val="HHLBodyText"/>
        <w:rPr>
          <w:b/>
        </w:rPr>
      </w:pPr>
      <w:r>
        <w:rPr>
          <w:b/>
        </w:rPr>
        <w:t xml:space="preserve">Our </w:t>
      </w:r>
      <w:r w:rsidR="00ED3480">
        <w:rPr>
          <w:b/>
        </w:rPr>
        <w:t xml:space="preserve">practice’s </w:t>
      </w:r>
      <w:bookmarkStart w:id="68" w:name="_Hlk6923869"/>
      <w:r w:rsidR="00ED3480">
        <w:rPr>
          <w:b/>
        </w:rPr>
        <w:t>p</w:t>
      </w:r>
      <w:r w:rsidR="0091781A" w:rsidRPr="001F7077">
        <w:rPr>
          <w:b/>
        </w:rPr>
        <w:t xml:space="preserve">rescribing is accurate and </w:t>
      </w:r>
      <w:r w:rsidR="00ED3B10" w:rsidRPr="001F7077">
        <w:rPr>
          <w:b/>
        </w:rPr>
        <w:t>appropriate,</w:t>
      </w:r>
      <w:r w:rsidR="00A32935" w:rsidRPr="001F7077">
        <w:rPr>
          <w:b/>
        </w:rPr>
        <w:t xml:space="preserve"> and medicines are reconciled</w:t>
      </w:r>
      <w:bookmarkEnd w:id="68"/>
      <w:r w:rsidR="00100D18" w:rsidRPr="001F7077">
        <w:rPr>
          <w:b/>
        </w:rPr>
        <w:t>.</w:t>
      </w:r>
    </w:p>
    <w:tbl>
      <w:tblPr>
        <w:tblStyle w:val="TableGrid1"/>
        <w:tblW w:w="0" w:type="auto"/>
        <w:tblLook w:val="04A0" w:firstRow="1" w:lastRow="0" w:firstColumn="1" w:lastColumn="0" w:noHBand="0" w:noVBand="1"/>
      </w:tblPr>
      <w:tblGrid>
        <w:gridCol w:w="1152"/>
        <w:gridCol w:w="4536"/>
        <w:gridCol w:w="4054"/>
      </w:tblGrid>
      <w:tr w:rsidR="00100D18" w:rsidRPr="00A81435" w14:paraId="72877028" w14:textId="77777777" w:rsidTr="007045DB">
        <w:tc>
          <w:tcPr>
            <w:tcW w:w="1153" w:type="dxa"/>
            <w:shd w:val="clear" w:color="auto" w:fill="FBD4B4" w:themeFill="accent6" w:themeFillTint="66"/>
          </w:tcPr>
          <w:p w14:paraId="5FAAA0A9" w14:textId="77777777" w:rsidR="00100D18" w:rsidRPr="00A81435" w:rsidRDefault="00100D18" w:rsidP="0091781A">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2FE254A7" w14:textId="77777777" w:rsidR="00100D18" w:rsidRPr="00A81435" w:rsidRDefault="00100D18" w:rsidP="0091781A">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18D65BAB" w14:textId="16594182" w:rsidR="00100D18" w:rsidRPr="00A81435" w:rsidRDefault="00100D18" w:rsidP="0091781A">
            <w:pPr>
              <w:spacing w:before="120" w:after="120"/>
              <w:rPr>
                <w:b/>
                <w:color w:val="auto"/>
                <w:sz w:val="22"/>
                <w:szCs w:val="22"/>
              </w:rPr>
            </w:pPr>
            <w:r w:rsidRPr="00A81435">
              <w:rPr>
                <w:b/>
                <w:color w:val="auto"/>
                <w:sz w:val="22"/>
                <w:szCs w:val="22"/>
              </w:rPr>
              <w:t>Required evidence</w:t>
            </w:r>
          </w:p>
        </w:tc>
      </w:tr>
      <w:tr w:rsidR="00100D18" w:rsidRPr="00A81435" w14:paraId="2F260C4A" w14:textId="77777777" w:rsidTr="007045DB">
        <w:tc>
          <w:tcPr>
            <w:tcW w:w="1153" w:type="dxa"/>
          </w:tcPr>
          <w:p w14:paraId="50E6A1D8" w14:textId="0A815EA1" w:rsidR="00100D18" w:rsidRPr="00A81435" w:rsidRDefault="00100D18" w:rsidP="0091781A">
            <w:pPr>
              <w:spacing w:before="60"/>
              <w:rPr>
                <w:color w:val="auto"/>
                <w:sz w:val="22"/>
                <w:szCs w:val="22"/>
              </w:rPr>
            </w:pPr>
            <w:r>
              <w:rPr>
                <w:color w:val="auto"/>
                <w:sz w:val="22"/>
                <w:szCs w:val="22"/>
              </w:rPr>
              <w:t>2</w:t>
            </w:r>
            <w:r w:rsidR="00C447AF">
              <w:rPr>
                <w:color w:val="auto"/>
                <w:sz w:val="22"/>
                <w:szCs w:val="22"/>
              </w:rPr>
              <w:t>4</w:t>
            </w:r>
            <w:r w:rsidRPr="00A81435">
              <w:rPr>
                <w:color w:val="auto"/>
                <w:sz w:val="22"/>
                <w:szCs w:val="22"/>
              </w:rPr>
              <w:t>.1</w:t>
            </w:r>
          </w:p>
        </w:tc>
        <w:tc>
          <w:tcPr>
            <w:tcW w:w="4568" w:type="dxa"/>
          </w:tcPr>
          <w:p w14:paraId="3ADBCA4A" w14:textId="188E18ED" w:rsidR="00100D18" w:rsidRPr="00D53B42" w:rsidRDefault="00BE3E6D" w:rsidP="0091781A">
            <w:pPr>
              <w:tabs>
                <w:tab w:val="left" w:pos="151"/>
              </w:tabs>
              <w:spacing w:before="60"/>
              <w:rPr>
                <w:rFonts w:cs="Arial"/>
                <w:color w:val="auto"/>
                <w:sz w:val="22"/>
                <w:szCs w:val="22"/>
              </w:rPr>
            </w:pPr>
            <w:r>
              <w:rPr>
                <w:rFonts w:cs="Arial"/>
                <w:color w:val="auto"/>
                <w:sz w:val="22"/>
                <w:szCs w:val="22"/>
              </w:rPr>
              <w:t xml:space="preserve">Ensure </w:t>
            </w:r>
            <w:r w:rsidR="00214257">
              <w:rPr>
                <w:rFonts w:cs="Arial"/>
                <w:color w:val="auto"/>
                <w:sz w:val="22"/>
                <w:szCs w:val="22"/>
              </w:rPr>
              <w:t xml:space="preserve">all </w:t>
            </w:r>
            <w:r w:rsidR="00C80464">
              <w:rPr>
                <w:rFonts w:cs="Arial"/>
                <w:color w:val="auto"/>
                <w:sz w:val="22"/>
                <w:szCs w:val="22"/>
              </w:rPr>
              <w:t>medicines</w:t>
            </w:r>
            <w:r w:rsidR="00EE1C1F">
              <w:rPr>
                <w:rFonts w:cs="Arial"/>
                <w:color w:val="auto"/>
                <w:sz w:val="22"/>
                <w:szCs w:val="22"/>
              </w:rPr>
              <w:t xml:space="preserve"> </w:t>
            </w:r>
            <w:r w:rsidR="007F513A" w:rsidRPr="007F513A">
              <w:rPr>
                <w:rFonts w:cs="Arial"/>
                <w:color w:val="auto"/>
                <w:sz w:val="22"/>
                <w:szCs w:val="22"/>
              </w:rPr>
              <w:t>prescri</w:t>
            </w:r>
            <w:r w:rsidR="00EE1C1F">
              <w:rPr>
                <w:rFonts w:cs="Arial"/>
                <w:color w:val="auto"/>
                <w:sz w:val="22"/>
                <w:szCs w:val="22"/>
              </w:rPr>
              <w:t xml:space="preserve">bed, administered or supplied </w:t>
            </w:r>
            <w:r>
              <w:rPr>
                <w:rFonts w:cs="Arial"/>
                <w:color w:val="auto"/>
                <w:sz w:val="22"/>
                <w:szCs w:val="22"/>
              </w:rPr>
              <w:t xml:space="preserve">are recorded </w:t>
            </w:r>
            <w:r w:rsidR="007F513A" w:rsidRPr="007F513A">
              <w:rPr>
                <w:rFonts w:cs="Arial"/>
                <w:color w:val="auto"/>
                <w:sz w:val="22"/>
                <w:szCs w:val="22"/>
              </w:rPr>
              <w:t>in the P</w:t>
            </w:r>
            <w:r w:rsidR="00A42AA4">
              <w:rPr>
                <w:rFonts w:cs="Arial"/>
                <w:color w:val="auto"/>
                <w:sz w:val="22"/>
                <w:szCs w:val="22"/>
              </w:rPr>
              <w:t>atient</w:t>
            </w:r>
            <w:r w:rsidR="007F513A" w:rsidRPr="007F513A">
              <w:rPr>
                <w:rFonts w:cs="Arial"/>
                <w:color w:val="auto"/>
                <w:sz w:val="22"/>
                <w:szCs w:val="22"/>
              </w:rPr>
              <w:t xml:space="preserve"> Management System</w:t>
            </w:r>
            <w:r>
              <w:rPr>
                <w:rFonts w:cs="Arial"/>
                <w:color w:val="auto"/>
                <w:sz w:val="22"/>
                <w:szCs w:val="22"/>
              </w:rPr>
              <w:t xml:space="preserve"> (PMS)</w:t>
            </w:r>
            <w:r w:rsidR="00A32935">
              <w:rPr>
                <w:rFonts w:cs="Arial"/>
                <w:color w:val="auto"/>
                <w:sz w:val="22"/>
                <w:szCs w:val="22"/>
              </w:rPr>
              <w:t>.</w:t>
            </w:r>
          </w:p>
        </w:tc>
        <w:tc>
          <w:tcPr>
            <w:tcW w:w="4075" w:type="dxa"/>
          </w:tcPr>
          <w:p w14:paraId="1CEC452A" w14:textId="10FBA457" w:rsidR="00F2267D" w:rsidRPr="006825C1" w:rsidRDefault="006825C1" w:rsidP="00BE3E6D">
            <w:pPr>
              <w:spacing w:before="60"/>
              <w:rPr>
                <w:color w:val="auto"/>
                <w:sz w:val="22"/>
                <w:szCs w:val="22"/>
              </w:rPr>
            </w:pPr>
            <w:r w:rsidRPr="006825C1">
              <w:rPr>
                <w:color w:val="auto"/>
                <w:sz w:val="22"/>
                <w:szCs w:val="22"/>
              </w:rPr>
              <w:t>C</w:t>
            </w:r>
            <w:r w:rsidR="00F2267D" w:rsidRPr="006825C1">
              <w:rPr>
                <w:color w:val="auto"/>
                <w:sz w:val="22"/>
                <w:szCs w:val="22"/>
              </w:rPr>
              <w:t xml:space="preserve">linical notes review </w:t>
            </w:r>
            <w:r w:rsidR="00712094">
              <w:rPr>
                <w:color w:val="auto"/>
                <w:sz w:val="22"/>
                <w:szCs w:val="22"/>
              </w:rPr>
              <w:t>o</w:t>
            </w:r>
            <w:r w:rsidR="00712094">
              <w:rPr>
                <w:color w:val="auto"/>
                <w:sz w:val="22"/>
              </w:rPr>
              <w:t xml:space="preserve">f </w:t>
            </w:r>
            <w:r w:rsidR="00F2267D" w:rsidRPr="006825C1">
              <w:rPr>
                <w:color w:val="auto"/>
                <w:sz w:val="22"/>
                <w:szCs w:val="22"/>
              </w:rPr>
              <w:t>10 patient records in the 12 months prior to an onsite assessment is completed by all clinicians</w:t>
            </w:r>
            <w:r w:rsidR="00712094">
              <w:rPr>
                <w:color w:val="auto"/>
                <w:sz w:val="22"/>
                <w:szCs w:val="22"/>
              </w:rPr>
              <w:t>.</w:t>
            </w:r>
          </w:p>
        </w:tc>
      </w:tr>
      <w:tr w:rsidR="00EE1C1F" w:rsidRPr="00A81435" w14:paraId="655D3422" w14:textId="77777777" w:rsidTr="007045DB">
        <w:tc>
          <w:tcPr>
            <w:tcW w:w="1153" w:type="dxa"/>
          </w:tcPr>
          <w:p w14:paraId="50446479" w14:textId="7BE407BC" w:rsidR="00EE1C1F" w:rsidRDefault="00EE1C1F" w:rsidP="0091781A">
            <w:pPr>
              <w:spacing w:before="60"/>
              <w:rPr>
                <w:color w:val="auto"/>
                <w:sz w:val="22"/>
                <w:szCs w:val="22"/>
              </w:rPr>
            </w:pPr>
            <w:r>
              <w:rPr>
                <w:color w:val="auto"/>
                <w:sz w:val="22"/>
                <w:szCs w:val="22"/>
              </w:rPr>
              <w:t>24.2</w:t>
            </w:r>
          </w:p>
        </w:tc>
        <w:tc>
          <w:tcPr>
            <w:tcW w:w="4568" w:type="dxa"/>
          </w:tcPr>
          <w:p w14:paraId="6ACF4A40" w14:textId="71BDF432" w:rsidR="00EE1C1F" w:rsidRPr="00A32935" w:rsidRDefault="00EE1C1F" w:rsidP="0091781A">
            <w:pPr>
              <w:tabs>
                <w:tab w:val="left" w:pos="151"/>
              </w:tabs>
              <w:spacing w:before="60"/>
              <w:rPr>
                <w:rFonts w:cs="Arial"/>
                <w:color w:val="auto"/>
                <w:sz w:val="22"/>
                <w:szCs w:val="22"/>
              </w:rPr>
            </w:pPr>
            <w:r>
              <w:rPr>
                <w:rFonts w:cs="Arial"/>
                <w:color w:val="auto"/>
                <w:sz w:val="22"/>
                <w:szCs w:val="22"/>
              </w:rPr>
              <w:t xml:space="preserve">Comply with </w:t>
            </w:r>
            <w:r w:rsidRPr="00EE1C1F">
              <w:rPr>
                <w:rFonts w:cs="Arial"/>
                <w:color w:val="auto"/>
                <w:sz w:val="22"/>
                <w:szCs w:val="22"/>
              </w:rPr>
              <w:t>a documented policy for repeat prescribing.</w:t>
            </w:r>
          </w:p>
        </w:tc>
        <w:tc>
          <w:tcPr>
            <w:tcW w:w="4075" w:type="dxa"/>
          </w:tcPr>
          <w:p w14:paraId="14C585CB" w14:textId="24C997AF" w:rsidR="00EE1C1F" w:rsidRPr="00BE3E6D" w:rsidRDefault="00EE1C1F" w:rsidP="00BE3E6D">
            <w:pPr>
              <w:spacing w:before="60"/>
              <w:ind w:left="-74"/>
              <w:rPr>
                <w:color w:val="auto"/>
                <w:sz w:val="22"/>
                <w:szCs w:val="22"/>
              </w:rPr>
            </w:pPr>
            <w:r w:rsidRPr="00BE3E6D">
              <w:rPr>
                <w:color w:val="auto"/>
                <w:sz w:val="22"/>
                <w:szCs w:val="22"/>
              </w:rPr>
              <w:t xml:space="preserve">A documented </w:t>
            </w:r>
            <w:r w:rsidR="00E24174" w:rsidRPr="00BE3E6D">
              <w:rPr>
                <w:color w:val="auto"/>
                <w:sz w:val="22"/>
                <w:szCs w:val="22"/>
              </w:rPr>
              <w:t>Repeat Prescribing Policy.</w:t>
            </w:r>
          </w:p>
          <w:p w14:paraId="2D60605A" w14:textId="00F6C8F1" w:rsidR="00EE1C1F" w:rsidRPr="00BE3E6D" w:rsidRDefault="00EE1C1F" w:rsidP="00BE3E6D">
            <w:pPr>
              <w:spacing w:before="60"/>
              <w:ind w:left="-74"/>
              <w:rPr>
                <w:color w:val="auto"/>
                <w:sz w:val="22"/>
                <w:szCs w:val="22"/>
              </w:rPr>
            </w:pPr>
            <w:r w:rsidRPr="00BE3E6D">
              <w:rPr>
                <w:color w:val="auto"/>
                <w:sz w:val="22"/>
                <w:szCs w:val="22"/>
              </w:rPr>
              <w:t>A</w:t>
            </w:r>
            <w:r w:rsidR="001045E9" w:rsidRPr="00BE3E6D">
              <w:rPr>
                <w:color w:val="auto"/>
                <w:sz w:val="22"/>
                <w:szCs w:val="22"/>
              </w:rPr>
              <w:t xml:space="preserve"> documented </w:t>
            </w:r>
            <w:r w:rsidRPr="00BE3E6D">
              <w:rPr>
                <w:color w:val="auto"/>
                <w:sz w:val="22"/>
                <w:szCs w:val="22"/>
              </w:rPr>
              <w:t>audit of repeat prescribing</w:t>
            </w:r>
            <w:r w:rsidR="00A51A4A" w:rsidRPr="00BE3E6D">
              <w:rPr>
                <w:color w:val="auto"/>
                <w:sz w:val="22"/>
                <w:szCs w:val="22"/>
              </w:rPr>
              <w:t>.</w:t>
            </w:r>
          </w:p>
        </w:tc>
      </w:tr>
      <w:tr w:rsidR="002E4785" w:rsidRPr="00A81435" w14:paraId="3184E096" w14:textId="77777777" w:rsidTr="007045DB">
        <w:tc>
          <w:tcPr>
            <w:tcW w:w="1153" w:type="dxa"/>
          </w:tcPr>
          <w:p w14:paraId="1729EC84" w14:textId="6CD1A6D4" w:rsidR="002E4785" w:rsidRDefault="00895A87" w:rsidP="0091781A">
            <w:pPr>
              <w:spacing w:before="60"/>
              <w:rPr>
                <w:color w:val="auto"/>
                <w:sz w:val="22"/>
                <w:szCs w:val="22"/>
              </w:rPr>
            </w:pPr>
            <w:r>
              <w:rPr>
                <w:color w:val="auto"/>
                <w:sz w:val="22"/>
                <w:szCs w:val="22"/>
              </w:rPr>
              <w:t>2</w:t>
            </w:r>
            <w:r w:rsidR="00C447AF">
              <w:rPr>
                <w:color w:val="auto"/>
                <w:sz w:val="22"/>
                <w:szCs w:val="22"/>
              </w:rPr>
              <w:t>4</w:t>
            </w:r>
            <w:r>
              <w:rPr>
                <w:color w:val="auto"/>
                <w:sz w:val="22"/>
                <w:szCs w:val="22"/>
              </w:rPr>
              <w:t>.</w:t>
            </w:r>
            <w:r w:rsidR="00EE1C1F">
              <w:rPr>
                <w:color w:val="auto"/>
                <w:sz w:val="22"/>
                <w:szCs w:val="22"/>
              </w:rPr>
              <w:t>3</w:t>
            </w:r>
          </w:p>
        </w:tc>
        <w:tc>
          <w:tcPr>
            <w:tcW w:w="4568" w:type="dxa"/>
          </w:tcPr>
          <w:p w14:paraId="3E6353FA" w14:textId="315F05C6" w:rsidR="002E4785" w:rsidRPr="00D53B42" w:rsidRDefault="008B590B" w:rsidP="0091781A">
            <w:pPr>
              <w:tabs>
                <w:tab w:val="left" w:pos="151"/>
              </w:tabs>
              <w:spacing w:before="60"/>
              <w:rPr>
                <w:rFonts w:cs="Arial"/>
                <w:color w:val="auto"/>
                <w:sz w:val="22"/>
                <w:szCs w:val="22"/>
              </w:rPr>
            </w:pPr>
            <w:r w:rsidRPr="00A32935">
              <w:rPr>
                <w:rFonts w:cs="Arial"/>
                <w:color w:val="auto"/>
                <w:sz w:val="22"/>
                <w:szCs w:val="22"/>
              </w:rPr>
              <w:t xml:space="preserve">Ensure Standing orders, where </w:t>
            </w:r>
            <w:r w:rsidR="00856407" w:rsidRPr="00A32935">
              <w:rPr>
                <w:rFonts w:cs="Arial"/>
                <w:color w:val="auto"/>
                <w:sz w:val="22"/>
                <w:szCs w:val="22"/>
              </w:rPr>
              <w:t xml:space="preserve">used, </w:t>
            </w:r>
            <w:r w:rsidR="00856407">
              <w:rPr>
                <w:rFonts w:cs="Arial"/>
                <w:color w:val="auto"/>
                <w:sz w:val="22"/>
                <w:szCs w:val="22"/>
              </w:rPr>
              <w:t>comply</w:t>
            </w:r>
            <w:r w:rsidRPr="00A32935">
              <w:rPr>
                <w:rFonts w:cs="Arial"/>
                <w:color w:val="auto"/>
                <w:sz w:val="22"/>
                <w:szCs w:val="22"/>
              </w:rPr>
              <w:t xml:space="preserve"> with the Ministry of Health standing order guidelines 2016</w:t>
            </w:r>
            <w:r w:rsidR="00A32935">
              <w:rPr>
                <w:rFonts w:cs="Arial"/>
                <w:color w:val="auto"/>
                <w:sz w:val="22"/>
                <w:szCs w:val="22"/>
              </w:rPr>
              <w:t>.</w:t>
            </w:r>
          </w:p>
        </w:tc>
        <w:tc>
          <w:tcPr>
            <w:tcW w:w="4075" w:type="dxa"/>
          </w:tcPr>
          <w:p w14:paraId="30220CDC" w14:textId="4024F888" w:rsidR="00A70D5A" w:rsidRPr="007045DB" w:rsidRDefault="00A70D5A" w:rsidP="007045DB">
            <w:pPr>
              <w:spacing w:before="60"/>
              <w:ind w:left="-74"/>
              <w:rPr>
                <w:color w:val="auto"/>
                <w:sz w:val="22"/>
                <w:szCs w:val="22"/>
              </w:rPr>
            </w:pPr>
            <w:r w:rsidRPr="007045DB">
              <w:rPr>
                <w:color w:val="auto"/>
                <w:sz w:val="22"/>
                <w:szCs w:val="22"/>
              </w:rPr>
              <w:t>Documented Standing Orders Policy and procedures</w:t>
            </w:r>
            <w:r w:rsidR="00712094">
              <w:rPr>
                <w:color w:val="auto"/>
                <w:sz w:val="22"/>
                <w:szCs w:val="22"/>
              </w:rPr>
              <w:t>.</w:t>
            </w:r>
          </w:p>
          <w:p w14:paraId="1224AE2A" w14:textId="77777777" w:rsidR="0039189F" w:rsidRPr="007045DB" w:rsidRDefault="0039189F" w:rsidP="007045DB">
            <w:pPr>
              <w:spacing w:before="60"/>
              <w:ind w:left="-74"/>
              <w:rPr>
                <w:color w:val="auto"/>
                <w:sz w:val="22"/>
                <w:szCs w:val="22"/>
              </w:rPr>
            </w:pPr>
            <w:r w:rsidRPr="007045DB">
              <w:rPr>
                <w:color w:val="auto"/>
                <w:sz w:val="22"/>
                <w:szCs w:val="22"/>
              </w:rPr>
              <w:t>A list of standing orders used in the practice.</w:t>
            </w:r>
          </w:p>
          <w:p w14:paraId="67C534E0" w14:textId="6DCFFAD7" w:rsidR="0039189F" w:rsidRPr="007045DB" w:rsidRDefault="0039189F" w:rsidP="007045DB">
            <w:pPr>
              <w:spacing w:before="60"/>
              <w:ind w:left="-74"/>
              <w:rPr>
                <w:color w:val="auto"/>
                <w:sz w:val="22"/>
                <w:szCs w:val="22"/>
              </w:rPr>
            </w:pPr>
            <w:r w:rsidRPr="007045DB">
              <w:rPr>
                <w:color w:val="auto"/>
                <w:sz w:val="22"/>
                <w:szCs w:val="22"/>
              </w:rPr>
              <w:t>Evidence of countersigning or auditing</w:t>
            </w:r>
            <w:r w:rsidR="00A70D5A" w:rsidRPr="007045DB">
              <w:rPr>
                <w:color w:val="auto"/>
                <w:sz w:val="22"/>
                <w:szCs w:val="22"/>
              </w:rPr>
              <w:t xml:space="preserve"> of Standing Orders</w:t>
            </w:r>
            <w:r w:rsidRPr="007045DB">
              <w:rPr>
                <w:color w:val="auto"/>
                <w:sz w:val="22"/>
                <w:szCs w:val="22"/>
              </w:rPr>
              <w:t>.</w:t>
            </w:r>
          </w:p>
          <w:p w14:paraId="138A71F2" w14:textId="072564C3" w:rsidR="0039189F" w:rsidRPr="007045DB" w:rsidRDefault="00A70D5A" w:rsidP="007045DB">
            <w:pPr>
              <w:spacing w:before="60"/>
              <w:ind w:left="-74"/>
              <w:rPr>
                <w:color w:val="auto"/>
                <w:sz w:val="22"/>
                <w:szCs w:val="22"/>
              </w:rPr>
            </w:pPr>
            <w:r w:rsidRPr="007045DB">
              <w:rPr>
                <w:color w:val="auto"/>
                <w:sz w:val="22"/>
                <w:szCs w:val="22"/>
              </w:rPr>
              <w:t>A s</w:t>
            </w:r>
            <w:r w:rsidR="0039189F" w:rsidRPr="007045DB">
              <w:rPr>
                <w:color w:val="auto"/>
                <w:sz w:val="22"/>
                <w:szCs w:val="22"/>
              </w:rPr>
              <w:t>ample audit tool if auditing.</w:t>
            </w:r>
          </w:p>
          <w:p w14:paraId="414216BF" w14:textId="3CB61096" w:rsidR="0039189F" w:rsidRPr="007045DB" w:rsidRDefault="0039189F" w:rsidP="007045DB">
            <w:pPr>
              <w:spacing w:before="60"/>
              <w:ind w:left="-74"/>
              <w:rPr>
                <w:color w:val="auto"/>
                <w:sz w:val="22"/>
                <w:szCs w:val="22"/>
              </w:rPr>
            </w:pPr>
            <w:r w:rsidRPr="007045DB">
              <w:rPr>
                <w:color w:val="auto"/>
                <w:sz w:val="22"/>
                <w:szCs w:val="22"/>
              </w:rPr>
              <w:t xml:space="preserve">Evidence of annual review of the </w:t>
            </w:r>
            <w:r w:rsidR="006825C1">
              <w:rPr>
                <w:color w:val="auto"/>
                <w:sz w:val="22"/>
                <w:szCs w:val="22"/>
              </w:rPr>
              <w:t>S</w:t>
            </w:r>
            <w:r w:rsidRPr="007045DB">
              <w:rPr>
                <w:color w:val="auto"/>
                <w:sz w:val="22"/>
                <w:szCs w:val="22"/>
              </w:rPr>
              <w:t xml:space="preserve">tanding </w:t>
            </w:r>
            <w:r w:rsidR="006825C1">
              <w:rPr>
                <w:color w:val="auto"/>
                <w:sz w:val="22"/>
                <w:szCs w:val="22"/>
              </w:rPr>
              <w:t>O</w:t>
            </w:r>
            <w:r w:rsidRPr="007045DB">
              <w:rPr>
                <w:color w:val="auto"/>
                <w:sz w:val="22"/>
                <w:szCs w:val="22"/>
              </w:rPr>
              <w:t>rder</w:t>
            </w:r>
            <w:r w:rsidR="00A70D5A" w:rsidRPr="007045DB">
              <w:rPr>
                <w:color w:val="auto"/>
                <w:sz w:val="22"/>
                <w:szCs w:val="22"/>
              </w:rPr>
              <w:t>(s)</w:t>
            </w:r>
            <w:r w:rsidRPr="007045DB">
              <w:rPr>
                <w:color w:val="auto"/>
                <w:sz w:val="22"/>
                <w:szCs w:val="22"/>
              </w:rPr>
              <w:t xml:space="preserve"> by the issuer.</w:t>
            </w:r>
          </w:p>
          <w:p w14:paraId="0399775D" w14:textId="39776A92" w:rsidR="002E4785" w:rsidRPr="007045DB" w:rsidRDefault="0039189F" w:rsidP="007045DB">
            <w:pPr>
              <w:spacing w:before="60"/>
              <w:ind w:left="-74"/>
              <w:rPr>
                <w:color w:val="auto"/>
                <w:sz w:val="22"/>
                <w:szCs w:val="22"/>
              </w:rPr>
            </w:pPr>
            <w:r w:rsidRPr="007045DB">
              <w:rPr>
                <w:color w:val="auto"/>
                <w:sz w:val="22"/>
                <w:szCs w:val="22"/>
              </w:rPr>
              <w:t xml:space="preserve">Evidence of training and auditing of each registered nurse working with the </w:t>
            </w:r>
            <w:r w:rsidR="006825C1">
              <w:rPr>
                <w:color w:val="auto"/>
                <w:sz w:val="22"/>
                <w:szCs w:val="22"/>
              </w:rPr>
              <w:t>S</w:t>
            </w:r>
            <w:r w:rsidRPr="007045DB">
              <w:rPr>
                <w:color w:val="auto"/>
                <w:sz w:val="22"/>
                <w:szCs w:val="22"/>
              </w:rPr>
              <w:t xml:space="preserve">tanding </w:t>
            </w:r>
            <w:r w:rsidR="006825C1">
              <w:rPr>
                <w:color w:val="auto"/>
                <w:sz w:val="22"/>
                <w:szCs w:val="22"/>
              </w:rPr>
              <w:t>O</w:t>
            </w:r>
            <w:r w:rsidRPr="007045DB">
              <w:rPr>
                <w:color w:val="auto"/>
                <w:sz w:val="22"/>
                <w:szCs w:val="22"/>
              </w:rPr>
              <w:t>rder</w:t>
            </w:r>
            <w:r w:rsidR="00A70D5A" w:rsidRPr="007045DB">
              <w:rPr>
                <w:color w:val="auto"/>
                <w:sz w:val="22"/>
                <w:szCs w:val="22"/>
              </w:rPr>
              <w:t>(s)</w:t>
            </w:r>
            <w:r w:rsidRPr="007045DB">
              <w:rPr>
                <w:color w:val="auto"/>
                <w:sz w:val="22"/>
                <w:szCs w:val="22"/>
              </w:rPr>
              <w:t>.</w:t>
            </w:r>
          </w:p>
        </w:tc>
      </w:tr>
      <w:tr w:rsidR="002E4785" w:rsidRPr="00A81435" w14:paraId="5DD31D85" w14:textId="77777777" w:rsidTr="007045DB">
        <w:tc>
          <w:tcPr>
            <w:tcW w:w="1153" w:type="dxa"/>
          </w:tcPr>
          <w:p w14:paraId="0294CCD7" w14:textId="3141A2C8" w:rsidR="002E4785" w:rsidRDefault="00895A87" w:rsidP="0091781A">
            <w:pPr>
              <w:spacing w:before="60"/>
              <w:rPr>
                <w:color w:val="auto"/>
                <w:sz w:val="22"/>
                <w:szCs w:val="22"/>
              </w:rPr>
            </w:pPr>
            <w:r>
              <w:rPr>
                <w:color w:val="auto"/>
                <w:sz w:val="22"/>
                <w:szCs w:val="22"/>
              </w:rPr>
              <w:t>2</w:t>
            </w:r>
            <w:r w:rsidR="00C447AF">
              <w:rPr>
                <w:color w:val="auto"/>
                <w:sz w:val="22"/>
                <w:szCs w:val="22"/>
              </w:rPr>
              <w:t>4</w:t>
            </w:r>
            <w:r>
              <w:rPr>
                <w:color w:val="auto"/>
                <w:sz w:val="22"/>
                <w:szCs w:val="22"/>
              </w:rPr>
              <w:t>.</w:t>
            </w:r>
            <w:r w:rsidR="00EE1C1F">
              <w:rPr>
                <w:color w:val="auto"/>
                <w:sz w:val="22"/>
                <w:szCs w:val="22"/>
              </w:rPr>
              <w:t>4</w:t>
            </w:r>
          </w:p>
        </w:tc>
        <w:tc>
          <w:tcPr>
            <w:tcW w:w="4568" w:type="dxa"/>
          </w:tcPr>
          <w:p w14:paraId="21830722" w14:textId="77C8CF92" w:rsidR="002E4785" w:rsidRPr="00D53B42" w:rsidRDefault="007045DB" w:rsidP="0091781A">
            <w:pPr>
              <w:tabs>
                <w:tab w:val="left" w:pos="151"/>
              </w:tabs>
              <w:spacing w:before="60"/>
              <w:rPr>
                <w:rFonts w:cs="Arial"/>
                <w:color w:val="auto"/>
                <w:sz w:val="22"/>
                <w:szCs w:val="22"/>
              </w:rPr>
            </w:pPr>
            <w:r>
              <w:rPr>
                <w:rFonts w:cs="Arial"/>
                <w:color w:val="auto"/>
                <w:sz w:val="22"/>
                <w:szCs w:val="22"/>
              </w:rPr>
              <w:t>U</w:t>
            </w:r>
            <w:r w:rsidR="008B590B" w:rsidRPr="008B590B">
              <w:rPr>
                <w:rFonts w:cs="Arial"/>
                <w:color w:val="auto"/>
                <w:sz w:val="22"/>
                <w:szCs w:val="22"/>
              </w:rPr>
              <w:t xml:space="preserve">ndertake </w:t>
            </w:r>
            <w:r w:rsidR="00C009F1">
              <w:rPr>
                <w:rFonts w:cs="Arial"/>
                <w:color w:val="auto"/>
                <w:sz w:val="22"/>
                <w:szCs w:val="22"/>
              </w:rPr>
              <w:t>medicines</w:t>
            </w:r>
            <w:r w:rsidR="008B590B" w:rsidRPr="008B590B">
              <w:rPr>
                <w:rFonts w:cs="Arial"/>
                <w:color w:val="auto"/>
                <w:sz w:val="22"/>
                <w:szCs w:val="22"/>
              </w:rPr>
              <w:t xml:space="preserve"> reconciliation</w:t>
            </w:r>
            <w:r>
              <w:rPr>
                <w:rFonts w:cs="Arial"/>
                <w:color w:val="auto"/>
                <w:sz w:val="22"/>
                <w:szCs w:val="22"/>
              </w:rPr>
              <w:t xml:space="preserve"> in a timely manner</w:t>
            </w:r>
            <w:r w:rsidR="00C009F1">
              <w:rPr>
                <w:rFonts w:cs="Arial"/>
                <w:color w:val="auto"/>
                <w:sz w:val="22"/>
                <w:szCs w:val="22"/>
              </w:rPr>
              <w:t>.</w:t>
            </w:r>
          </w:p>
        </w:tc>
        <w:tc>
          <w:tcPr>
            <w:tcW w:w="4075" w:type="dxa"/>
          </w:tcPr>
          <w:p w14:paraId="2A952245" w14:textId="5F89FD67" w:rsidR="00702B42" w:rsidRPr="007045DB" w:rsidRDefault="00702B42" w:rsidP="007045DB">
            <w:pPr>
              <w:spacing w:before="60"/>
              <w:ind w:left="-74"/>
              <w:rPr>
                <w:color w:val="auto"/>
                <w:sz w:val="22"/>
                <w:szCs w:val="22"/>
              </w:rPr>
            </w:pPr>
            <w:r w:rsidRPr="007045DB">
              <w:rPr>
                <w:color w:val="auto"/>
                <w:sz w:val="22"/>
                <w:szCs w:val="22"/>
              </w:rPr>
              <w:t xml:space="preserve">A documented </w:t>
            </w:r>
            <w:r w:rsidR="00937072" w:rsidRPr="007045DB">
              <w:rPr>
                <w:color w:val="auto"/>
                <w:sz w:val="22"/>
                <w:szCs w:val="22"/>
              </w:rPr>
              <w:t>M</w:t>
            </w:r>
            <w:r w:rsidRPr="007045DB">
              <w:rPr>
                <w:color w:val="auto"/>
                <w:sz w:val="22"/>
                <w:szCs w:val="22"/>
              </w:rPr>
              <w:t xml:space="preserve">edicine </w:t>
            </w:r>
            <w:r w:rsidR="00937072" w:rsidRPr="007045DB">
              <w:rPr>
                <w:color w:val="auto"/>
                <w:sz w:val="22"/>
                <w:szCs w:val="22"/>
              </w:rPr>
              <w:t>R</w:t>
            </w:r>
            <w:r w:rsidRPr="007045DB">
              <w:rPr>
                <w:color w:val="auto"/>
                <w:sz w:val="22"/>
                <w:szCs w:val="22"/>
              </w:rPr>
              <w:t xml:space="preserve">econciliation </w:t>
            </w:r>
            <w:r w:rsidR="00937072" w:rsidRPr="007045DB">
              <w:rPr>
                <w:color w:val="auto"/>
                <w:sz w:val="22"/>
                <w:szCs w:val="22"/>
              </w:rPr>
              <w:t>P</w:t>
            </w:r>
            <w:r w:rsidRPr="007045DB">
              <w:rPr>
                <w:color w:val="auto"/>
                <w:sz w:val="22"/>
                <w:szCs w:val="22"/>
              </w:rPr>
              <w:t xml:space="preserve">olicy and </w:t>
            </w:r>
            <w:r w:rsidR="00937072" w:rsidRPr="007045DB">
              <w:rPr>
                <w:color w:val="auto"/>
                <w:sz w:val="22"/>
                <w:szCs w:val="22"/>
              </w:rPr>
              <w:t>P</w:t>
            </w:r>
            <w:r w:rsidRPr="007045DB">
              <w:rPr>
                <w:color w:val="auto"/>
                <w:sz w:val="22"/>
                <w:szCs w:val="22"/>
              </w:rPr>
              <w:t>rocedure including discharge/clinic letters.</w:t>
            </w:r>
          </w:p>
          <w:p w14:paraId="473362E4" w14:textId="79E7B110" w:rsidR="00702B42" w:rsidRPr="007045DB" w:rsidRDefault="006825C1" w:rsidP="007045DB">
            <w:pPr>
              <w:spacing w:before="60"/>
              <w:ind w:left="-74"/>
              <w:rPr>
                <w:color w:val="auto"/>
                <w:sz w:val="22"/>
                <w:szCs w:val="22"/>
              </w:rPr>
            </w:pPr>
            <w:r>
              <w:rPr>
                <w:color w:val="auto"/>
                <w:sz w:val="22"/>
                <w:szCs w:val="22"/>
              </w:rPr>
              <w:t>A c</w:t>
            </w:r>
            <w:r w:rsidR="00937072" w:rsidRPr="007045DB">
              <w:rPr>
                <w:color w:val="auto"/>
                <w:sz w:val="22"/>
                <w:szCs w:val="22"/>
              </w:rPr>
              <w:t>linical n</w:t>
            </w:r>
            <w:r w:rsidR="00702B42" w:rsidRPr="007045DB">
              <w:rPr>
                <w:color w:val="auto"/>
                <w:sz w:val="22"/>
                <w:szCs w:val="22"/>
              </w:rPr>
              <w:t>otes review</w:t>
            </w:r>
            <w:r w:rsidR="007045DB" w:rsidRPr="007045DB">
              <w:rPr>
                <w:color w:val="auto"/>
                <w:sz w:val="22"/>
                <w:szCs w:val="22"/>
              </w:rPr>
              <w:t xml:space="preserve"> that demonstrates</w:t>
            </w:r>
            <w:r w:rsidR="00702B42" w:rsidRPr="007045DB">
              <w:rPr>
                <w:color w:val="auto"/>
                <w:sz w:val="22"/>
                <w:szCs w:val="22"/>
              </w:rPr>
              <w:t>:</w:t>
            </w:r>
          </w:p>
          <w:p w14:paraId="19659155" w14:textId="48809917" w:rsidR="00702B42" w:rsidRPr="006825C1" w:rsidRDefault="00702B42" w:rsidP="00C3212E">
            <w:pPr>
              <w:pStyle w:val="ListParagraph"/>
              <w:numPr>
                <w:ilvl w:val="0"/>
                <w:numId w:val="38"/>
              </w:numPr>
              <w:spacing w:before="60"/>
              <w:contextualSpacing w:val="0"/>
              <w:rPr>
                <w:color w:val="auto"/>
                <w:sz w:val="22"/>
                <w:szCs w:val="22"/>
              </w:rPr>
            </w:pPr>
            <w:r w:rsidRPr="006825C1">
              <w:rPr>
                <w:color w:val="auto"/>
                <w:sz w:val="22"/>
                <w:szCs w:val="22"/>
              </w:rPr>
              <w:t xml:space="preserve">The collection, comparison and communication </w:t>
            </w:r>
            <w:r w:rsidR="007045DB" w:rsidRPr="006825C1">
              <w:rPr>
                <w:color w:val="auto"/>
                <w:sz w:val="22"/>
                <w:szCs w:val="22"/>
              </w:rPr>
              <w:t xml:space="preserve">between </w:t>
            </w:r>
            <w:r w:rsidRPr="006825C1">
              <w:rPr>
                <w:color w:val="auto"/>
                <w:sz w:val="22"/>
                <w:szCs w:val="22"/>
              </w:rPr>
              <w:t>medicines lists.</w:t>
            </w:r>
          </w:p>
          <w:p w14:paraId="68852ED0" w14:textId="681DBC91" w:rsidR="00702B42" w:rsidRPr="006825C1" w:rsidRDefault="00702B42" w:rsidP="00C3212E">
            <w:pPr>
              <w:pStyle w:val="ListParagraph"/>
              <w:numPr>
                <w:ilvl w:val="0"/>
                <w:numId w:val="38"/>
              </w:numPr>
              <w:spacing w:before="60"/>
              <w:contextualSpacing w:val="0"/>
              <w:rPr>
                <w:color w:val="auto"/>
                <w:sz w:val="22"/>
                <w:szCs w:val="22"/>
              </w:rPr>
            </w:pPr>
            <w:r w:rsidRPr="006825C1">
              <w:rPr>
                <w:color w:val="auto"/>
                <w:sz w:val="22"/>
                <w:szCs w:val="22"/>
              </w:rPr>
              <w:t>Any medicine discrepancies and actions taken for reconciliation.</w:t>
            </w:r>
          </w:p>
          <w:p w14:paraId="5861BF99" w14:textId="57D7F8A4" w:rsidR="00702B42" w:rsidRPr="006825C1" w:rsidRDefault="00702B42" w:rsidP="00C3212E">
            <w:pPr>
              <w:pStyle w:val="ListParagraph"/>
              <w:numPr>
                <w:ilvl w:val="0"/>
                <w:numId w:val="38"/>
              </w:numPr>
              <w:spacing w:before="60"/>
              <w:contextualSpacing w:val="0"/>
              <w:rPr>
                <w:color w:val="auto"/>
                <w:sz w:val="22"/>
                <w:szCs w:val="22"/>
              </w:rPr>
            </w:pPr>
            <w:r w:rsidRPr="006825C1">
              <w:rPr>
                <w:color w:val="auto"/>
                <w:sz w:val="22"/>
                <w:szCs w:val="22"/>
              </w:rPr>
              <w:t>Reasons for alteration or discontinuation where available.</w:t>
            </w:r>
          </w:p>
          <w:p w14:paraId="3AB57194" w14:textId="35F20A85" w:rsidR="002E4785" w:rsidRPr="00B57694" w:rsidRDefault="007045DB" w:rsidP="00C3212E">
            <w:pPr>
              <w:pStyle w:val="ListParagraph"/>
              <w:numPr>
                <w:ilvl w:val="0"/>
                <w:numId w:val="38"/>
              </w:numPr>
              <w:spacing w:before="60"/>
              <w:contextualSpacing w:val="0"/>
              <w:rPr>
                <w:color w:val="auto"/>
                <w:sz w:val="22"/>
                <w:szCs w:val="22"/>
              </w:rPr>
            </w:pPr>
            <w:r w:rsidRPr="006825C1">
              <w:rPr>
                <w:color w:val="auto"/>
                <w:sz w:val="22"/>
                <w:szCs w:val="22"/>
              </w:rPr>
              <w:t>Evidence of timely reconciliation.</w:t>
            </w:r>
          </w:p>
        </w:tc>
      </w:tr>
      <w:tr w:rsidR="00750BD8" w:rsidRPr="00A81435" w14:paraId="4FD9A9C2" w14:textId="77777777" w:rsidTr="007045DB">
        <w:tc>
          <w:tcPr>
            <w:tcW w:w="1153" w:type="dxa"/>
          </w:tcPr>
          <w:p w14:paraId="3AC97C0B" w14:textId="5B73C1D0" w:rsidR="00750BD8" w:rsidRDefault="00750BD8" w:rsidP="0091781A">
            <w:pPr>
              <w:spacing w:before="60"/>
              <w:rPr>
                <w:color w:val="auto"/>
                <w:sz w:val="22"/>
                <w:szCs w:val="22"/>
              </w:rPr>
            </w:pPr>
            <w:r>
              <w:rPr>
                <w:color w:val="auto"/>
                <w:sz w:val="22"/>
                <w:szCs w:val="22"/>
              </w:rPr>
              <w:t>24.</w:t>
            </w:r>
            <w:r w:rsidR="00F65F28">
              <w:rPr>
                <w:color w:val="auto"/>
                <w:sz w:val="22"/>
                <w:szCs w:val="22"/>
              </w:rPr>
              <w:t>5</w:t>
            </w:r>
            <w:bookmarkStart w:id="69" w:name="_GoBack"/>
            <w:bookmarkEnd w:id="69"/>
          </w:p>
        </w:tc>
        <w:tc>
          <w:tcPr>
            <w:tcW w:w="4568" w:type="dxa"/>
          </w:tcPr>
          <w:p w14:paraId="5EA87342" w14:textId="5D5D3F47" w:rsidR="00750BD8" w:rsidRPr="008B590B" w:rsidRDefault="00750BD8" w:rsidP="0091781A">
            <w:pPr>
              <w:tabs>
                <w:tab w:val="left" w:pos="151"/>
              </w:tabs>
              <w:spacing w:before="60"/>
              <w:rPr>
                <w:rFonts w:cs="Arial"/>
                <w:color w:val="auto"/>
                <w:sz w:val="22"/>
                <w:szCs w:val="22"/>
              </w:rPr>
            </w:pPr>
            <w:r>
              <w:rPr>
                <w:rFonts w:cs="Arial"/>
                <w:color w:val="auto"/>
                <w:sz w:val="22"/>
                <w:szCs w:val="22"/>
              </w:rPr>
              <w:t>Reconcile medical warnings and update in the PMS.</w:t>
            </w:r>
          </w:p>
        </w:tc>
        <w:tc>
          <w:tcPr>
            <w:tcW w:w="4075" w:type="dxa"/>
          </w:tcPr>
          <w:p w14:paraId="7F5A8CD4" w14:textId="555A6CBB" w:rsidR="00750BD8" w:rsidRDefault="007045DB" w:rsidP="0091781A">
            <w:pPr>
              <w:spacing w:before="60"/>
              <w:rPr>
                <w:color w:val="auto"/>
                <w:sz w:val="22"/>
                <w:szCs w:val="22"/>
              </w:rPr>
            </w:pPr>
            <w:r>
              <w:rPr>
                <w:color w:val="auto"/>
                <w:sz w:val="22"/>
                <w:szCs w:val="22"/>
              </w:rPr>
              <w:t>D</w:t>
            </w:r>
            <w:r w:rsidR="009C656B">
              <w:rPr>
                <w:color w:val="auto"/>
                <w:sz w:val="22"/>
                <w:szCs w:val="22"/>
              </w:rPr>
              <w:t>emonstrat</w:t>
            </w:r>
            <w:r>
              <w:rPr>
                <w:color w:val="auto"/>
                <w:sz w:val="22"/>
                <w:szCs w:val="22"/>
              </w:rPr>
              <w:t>e</w:t>
            </w:r>
            <w:r w:rsidR="00750BD8">
              <w:rPr>
                <w:color w:val="auto"/>
                <w:sz w:val="22"/>
                <w:szCs w:val="22"/>
              </w:rPr>
              <w:t xml:space="preserve"> the reconciliation of medical warnings and </w:t>
            </w:r>
            <w:r>
              <w:rPr>
                <w:color w:val="auto"/>
                <w:sz w:val="22"/>
                <w:szCs w:val="22"/>
              </w:rPr>
              <w:t xml:space="preserve">update in </w:t>
            </w:r>
            <w:r w:rsidR="00750BD8">
              <w:rPr>
                <w:color w:val="auto"/>
                <w:sz w:val="22"/>
                <w:szCs w:val="22"/>
              </w:rPr>
              <w:t>the PMS</w:t>
            </w:r>
            <w:r w:rsidR="006825C1">
              <w:rPr>
                <w:color w:val="auto"/>
                <w:sz w:val="22"/>
                <w:szCs w:val="22"/>
              </w:rPr>
              <w:t>.</w:t>
            </w:r>
            <w:r>
              <w:rPr>
                <w:color w:val="auto"/>
                <w:sz w:val="22"/>
                <w:szCs w:val="22"/>
              </w:rPr>
              <w:t xml:space="preserve"> </w:t>
            </w:r>
            <w:r w:rsidR="006825C1">
              <w:rPr>
                <w:color w:val="auto"/>
                <w:sz w:val="22"/>
                <w:szCs w:val="22"/>
              </w:rPr>
              <w:t xml:space="preserve"> </w:t>
            </w:r>
            <w:r>
              <w:rPr>
                <w:color w:val="auto"/>
                <w:sz w:val="22"/>
                <w:szCs w:val="22"/>
              </w:rPr>
              <w:t xml:space="preserve">Reconciliations </w:t>
            </w:r>
            <w:r w:rsidR="006825C1">
              <w:rPr>
                <w:color w:val="auto"/>
                <w:sz w:val="22"/>
                <w:szCs w:val="22"/>
              </w:rPr>
              <w:t xml:space="preserve">include; </w:t>
            </w:r>
            <w:r w:rsidR="00750BD8">
              <w:rPr>
                <w:color w:val="auto"/>
                <w:sz w:val="22"/>
                <w:szCs w:val="22"/>
              </w:rPr>
              <w:t xml:space="preserve">allergies, adverse effects and </w:t>
            </w:r>
            <w:r w:rsidR="00BA4C1A">
              <w:rPr>
                <w:color w:val="auto"/>
                <w:sz w:val="22"/>
                <w:szCs w:val="22"/>
              </w:rPr>
              <w:t>significant interactions.</w:t>
            </w:r>
          </w:p>
        </w:tc>
      </w:tr>
    </w:tbl>
    <w:p w14:paraId="185DA646" w14:textId="77777777" w:rsidR="00B42A08" w:rsidRPr="005B2DE1" w:rsidRDefault="00B42A08" w:rsidP="00B42A08">
      <w:pPr>
        <w:pStyle w:val="HHLBodyText"/>
        <w:spacing w:before="240"/>
        <w:rPr>
          <w:b/>
          <w:sz w:val="22"/>
          <w:szCs w:val="22"/>
        </w:rPr>
      </w:pPr>
      <w:r w:rsidRPr="005B2DE1">
        <w:rPr>
          <w:b/>
          <w:sz w:val="22"/>
          <w:szCs w:val="22"/>
        </w:rPr>
        <w:t>Required training</w:t>
      </w:r>
    </w:p>
    <w:p w14:paraId="262FA7AF" w14:textId="72A118EC" w:rsidR="00184DA8" w:rsidRDefault="00184DA8" w:rsidP="00184DA8">
      <w:pPr>
        <w:pStyle w:val="HHLBodyText"/>
        <w:spacing w:before="0"/>
        <w:rPr>
          <w:sz w:val="22"/>
          <w:szCs w:val="22"/>
        </w:rPr>
      </w:pPr>
      <w:r>
        <w:rPr>
          <w:sz w:val="22"/>
          <w:szCs w:val="22"/>
        </w:rPr>
        <w:t xml:space="preserve">Training for registered nurses is required for standing orders with </w:t>
      </w:r>
      <w:r w:rsidR="00BE3E6D">
        <w:rPr>
          <w:sz w:val="22"/>
          <w:szCs w:val="22"/>
        </w:rPr>
        <w:t xml:space="preserve">an </w:t>
      </w:r>
      <w:r>
        <w:rPr>
          <w:sz w:val="22"/>
          <w:szCs w:val="22"/>
        </w:rPr>
        <w:t>annual review</w:t>
      </w:r>
      <w:r w:rsidR="00BE3E6D">
        <w:rPr>
          <w:sz w:val="22"/>
          <w:szCs w:val="22"/>
        </w:rPr>
        <w:t xml:space="preserve"> / update</w:t>
      </w:r>
      <w:r w:rsidR="00CF0ABA">
        <w:rPr>
          <w:sz w:val="22"/>
          <w:szCs w:val="22"/>
        </w:rPr>
        <w:t>.</w:t>
      </w:r>
    </w:p>
    <w:p w14:paraId="61B236EA" w14:textId="2708FE97" w:rsidR="00100D18" w:rsidRDefault="00100D18" w:rsidP="00100D18">
      <w:pPr>
        <w:spacing w:before="240" w:after="120"/>
        <w:rPr>
          <w:b/>
          <w:color w:val="auto"/>
          <w:sz w:val="22"/>
          <w:szCs w:val="22"/>
        </w:rPr>
      </w:pPr>
      <w:r w:rsidRPr="00A81435">
        <w:rPr>
          <w:b/>
          <w:color w:val="auto"/>
          <w:sz w:val="22"/>
          <w:szCs w:val="22"/>
        </w:rPr>
        <w:t>Guidance notes</w:t>
      </w:r>
    </w:p>
    <w:p w14:paraId="46AEF8CF" w14:textId="77777777" w:rsidR="00384966" w:rsidRPr="006923AC" w:rsidRDefault="00384966" w:rsidP="006923AC">
      <w:pPr>
        <w:pStyle w:val="HHLBodyText"/>
        <w:rPr>
          <w:i/>
        </w:rPr>
      </w:pPr>
      <w:r w:rsidRPr="006923AC">
        <w:rPr>
          <w:i/>
        </w:rPr>
        <w:t>Patient records</w:t>
      </w:r>
    </w:p>
    <w:p w14:paraId="418C0546" w14:textId="77777777" w:rsidR="00384966" w:rsidRPr="00B70670" w:rsidRDefault="00384966" w:rsidP="00384966">
      <w:pPr>
        <w:rPr>
          <w:color w:val="auto"/>
          <w:sz w:val="22"/>
          <w:szCs w:val="22"/>
        </w:rPr>
      </w:pPr>
      <w:r w:rsidRPr="00B70670">
        <w:rPr>
          <w:color w:val="auto"/>
          <w:sz w:val="22"/>
          <w:szCs w:val="22"/>
        </w:rPr>
        <w:lastRenderedPageBreak/>
        <w:t>Recording prescribing information electronically provides accurate, readily accessible data for continuity of patient care and an audit trail of activity.</w:t>
      </w:r>
    </w:p>
    <w:p w14:paraId="33B333BC" w14:textId="77777777" w:rsidR="00384966" w:rsidRPr="00B70670" w:rsidRDefault="00384966" w:rsidP="00384966">
      <w:pPr>
        <w:rPr>
          <w:color w:val="auto"/>
          <w:sz w:val="22"/>
          <w:szCs w:val="22"/>
        </w:rPr>
      </w:pPr>
      <w:r w:rsidRPr="00B70670">
        <w:rPr>
          <w:color w:val="auto"/>
          <w:sz w:val="22"/>
          <w:szCs w:val="22"/>
        </w:rPr>
        <w:t>Your prescribers should keep a clear and accurate patient record containing all relevant clinical findings, decisions made, information given to the patient, and the medicines and any other treatment prescribed.</w:t>
      </w:r>
    </w:p>
    <w:p w14:paraId="7CD47CF3" w14:textId="77777777" w:rsidR="00384966" w:rsidRPr="00B70670" w:rsidRDefault="00384966" w:rsidP="00384966">
      <w:pPr>
        <w:rPr>
          <w:sz w:val="22"/>
          <w:szCs w:val="22"/>
        </w:rPr>
      </w:pPr>
      <w:r w:rsidRPr="00B70670">
        <w:rPr>
          <w:color w:val="auto"/>
          <w:sz w:val="22"/>
          <w:szCs w:val="22"/>
        </w:rPr>
        <w:t>The patient record should include adequate patient medication history, including:</w:t>
      </w:r>
    </w:p>
    <w:p w14:paraId="7ECA6551" w14:textId="48A7D11B" w:rsidR="00384966" w:rsidRPr="00B70670" w:rsidRDefault="008D3E1B" w:rsidP="00F2122C">
      <w:pPr>
        <w:pStyle w:val="Bullets"/>
        <w:ind w:left="567" w:hanging="567"/>
        <w:rPr>
          <w:rStyle w:val="Bullet-grey"/>
          <w:rFonts w:ascii="Arial" w:hAnsi="Arial" w:cs="Arial"/>
        </w:rPr>
      </w:pPr>
      <w:r>
        <w:rPr>
          <w:rFonts w:ascii="Arial" w:hAnsi="Arial" w:cs="Arial"/>
        </w:rPr>
        <w:t>Cu</w:t>
      </w:r>
      <w:r w:rsidR="00384966" w:rsidRPr="00B70670">
        <w:rPr>
          <w:rFonts w:ascii="Arial" w:hAnsi="Arial" w:cs="Arial"/>
        </w:rPr>
        <w:t xml:space="preserve">rrent </w:t>
      </w:r>
      <w:r w:rsidR="00384966" w:rsidRPr="00B70670">
        <w:rPr>
          <w:rStyle w:val="Bullet-grey"/>
          <w:rFonts w:ascii="Arial" w:hAnsi="Arial" w:cs="Arial"/>
        </w:rPr>
        <w:t>medical conditions</w:t>
      </w:r>
    </w:p>
    <w:p w14:paraId="359DDC1F" w14:textId="690DD7F7" w:rsidR="00384966" w:rsidRPr="00ED1C1A" w:rsidRDefault="00ED1C1A" w:rsidP="00F2122C">
      <w:pPr>
        <w:pStyle w:val="Bullets"/>
        <w:ind w:left="567" w:hanging="567"/>
        <w:rPr>
          <w:rFonts w:ascii="Arial" w:hAnsi="Arial" w:cs="Arial"/>
        </w:rPr>
      </w:pPr>
      <w:r>
        <w:rPr>
          <w:rFonts w:ascii="Arial" w:hAnsi="Arial" w:cs="Arial"/>
        </w:rPr>
        <w:t>A</w:t>
      </w:r>
      <w:r w:rsidR="00384966" w:rsidRPr="00ED1C1A">
        <w:rPr>
          <w:rFonts w:ascii="Arial" w:hAnsi="Arial" w:cs="Arial"/>
        </w:rPr>
        <w:t>ny previous adverse reactions</w:t>
      </w:r>
    </w:p>
    <w:p w14:paraId="0412694E" w14:textId="532312CB" w:rsidR="00384966" w:rsidRPr="00ED1C1A" w:rsidRDefault="00ED1C1A" w:rsidP="00F2122C">
      <w:pPr>
        <w:pStyle w:val="Bullets"/>
        <w:ind w:left="567" w:hanging="567"/>
        <w:rPr>
          <w:rFonts w:ascii="Arial" w:hAnsi="Arial" w:cs="Arial"/>
        </w:rPr>
      </w:pPr>
      <w:r>
        <w:rPr>
          <w:rFonts w:ascii="Arial" w:hAnsi="Arial" w:cs="Arial"/>
        </w:rPr>
        <w:t>C</w:t>
      </w:r>
      <w:r w:rsidR="00384966" w:rsidRPr="00ED1C1A">
        <w:rPr>
          <w:rFonts w:ascii="Arial" w:hAnsi="Arial" w:cs="Arial"/>
        </w:rPr>
        <w:t>oncurrent or recent use of medicines (including non-prescription, complementary and alternative medicines</w:t>
      </w:r>
    </w:p>
    <w:p w14:paraId="4525EE65" w14:textId="192C0EF8" w:rsidR="00384966" w:rsidRPr="006923AC" w:rsidRDefault="00384966" w:rsidP="00CF7ABA">
      <w:pPr>
        <w:pStyle w:val="HHLBodyText"/>
        <w:spacing w:before="240"/>
        <w:rPr>
          <w:i/>
        </w:rPr>
      </w:pPr>
      <w:r w:rsidRPr="006923AC">
        <w:rPr>
          <w:i/>
        </w:rPr>
        <w:t>Repeat prescriptions</w:t>
      </w:r>
    </w:p>
    <w:p w14:paraId="5B3779F2" w14:textId="611F59D4" w:rsidR="00384966" w:rsidRPr="00CF7ABA" w:rsidRDefault="00384966" w:rsidP="00384966">
      <w:pPr>
        <w:rPr>
          <w:color w:val="auto"/>
          <w:sz w:val="22"/>
          <w:szCs w:val="22"/>
        </w:rPr>
      </w:pPr>
      <w:r w:rsidRPr="00CF7ABA">
        <w:rPr>
          <w:color w:val="auto"/>
          <w:sz w:val="22"/>
          <w:szCs w:val="22"/>
        </w:rPr>
        <w:t xml:space="preserve">The appropriateness of long-term repeat prescribing and repeat prescribing without a consultation </w:t>
      </w:r>
      <w:r w:rsidR="00E83489">
        <w:rPr>
          <w:color w:val="auto"/>
          <w:sz w:val="22"/>
          <w:szCs w:val="22"/>
        </w:rPr>
        <w:t>is</w:t>
      </w:r>
      <w:r w:rsidRPr="00CF7ABA">
        <w:rPr>
          <w:color w:val="auto"/>
          <w:sz w:val="22"/>
          <w:szCs w:val="22"/>
        </w:rPr>
        <w:t xml:space="preserve"> a matter of professional judgement. </w:t>
      </w:r>
    </w:p>
    <w:p w14:paraId="7A4E3046" w14:textId="77777777" w:rsidR="00384966" w:rsidRPr="00CF7ABA" w:rsidRDefault="00384966" w:rsidP="00384966">
      <w:pPr>
        <w:rPr>
          <w:color w:val="auto"/>
          <w:sz w:val="22"/>
          <w:szCs w:val="22"/>
        </w:rPr>
      </w:pPr>
      <w:r w:rsidRPr="00CF7ABA">
        <w:rPr>
          <w:color w:val="auto"/>
          <w:sz w:val="22"/>
          <w:szCs w:val="22"/>
        </w:rPr>
        <w:t>You are required to have a documented policy for repeat prescribing that outlines a reliable, safe and consistent approach to repeat prescribing.</w:t>
      </w:r>
    </w:p>
    <w:p w14:paraId="249ED4D5" w14:textId="77777777" w:rsidR="00384966" w:rsidRPr="00CF7ABA" w:rsidRDefault="00384966" w:rsidP="00E50D95">
      <w:pPr>
        <w:pStyle w:val="Bullets"/>
        <w:numPr>
          <w:ilvl w:val="0"/>
          <w:numId w:val="0"/>
        </w:numPr>
        <w:rPr>
          <w:rFonts w:ascii="Arial" w:hAnsi="Arial" w:cs="Arial"/>
        </w:rPr>
      </w:pPr>
      <w:r w:rsidRPr="00CF7ABA">
        <w:rPr>
          <w:rFonts w:ascii="Arial" w:hAnsi="Arial" w:cs="Arial"/>
        </w:rPr>
        <w:t>Before signing a repeat prescription, you must have secure procedures in place to ensure that:</w:t>
      </w:r>
    </w:p>
    <w:p w14:paraId="7C57BC54" w14:textId="4C871F05" w:rsidR="00384966" w:rsidRPr="008A4FE2" w:rsidRDefault="00E50D95" w:rsidP="00F2122C">
      <w:pPr>
        <w:pStyle w:val="Bullets"/>
        <w:ind w:left="567" w:hanging="567"/>
        <w:rPr>
          <w:rFonts w:ascii="Arial" w:hAnsi="Arial" w:cs="Arial"/>
        </w:rPr>
      </w:pPr>
      <w:r>
        <w:rPr>
          <w:rFonts w:ascii="Arial" w:hAnsi="Arial" w:cs="Arial"/>
        </w:rPr>
        <w:t>T</w:t>
      </w:r>
      <w:r w:rsidR="00384966" w:rsidRPr="008A4FE2">
        <w:rPr>
          <w:rFonts w:ascii="Arial" w:hAnsi="Arial" w:cs="Arial"/>
        </w:rPr>
        <w:t>he patient is issued with the correct prescription</w:t>
      </w:r>
      <w:r>
        <w:rPr>
          <w:rFonts w:ascii="Arial" w:hAnsi="Arial" w:cs="Arial"/>
        </w:rPr>
        <w:t>.</w:t>
      </w:r>
    </w:p>
    <w:p w14:paraId="4CE0D142" w14:textId="12865AAF" w:rsidR="00384966" w:rsidRPr="008A4FE2" w:rsidRDefault="00E50D95" w:rsidP="00F2122C">
      <w:pPr>
        <w:pStyle w:val="Bullets"/>
        <w:ind w:left="567" w:hanging="567"/>
        <w:rPr>
          <w:rFonts w:ascii="Arial" w:hAnsi="Arial" w:cs="Arial"/>
        </w:rPr>
      </w:pPr>
      <w:r>
        <w:rPr>
          <w:rFonts w:ascii="Arial" w:hAnsi="Arial" w:cs="Arial"/>
        </w:rPr>
        <w:t>E</w:t>
      </w:r>
      <w:r w:rsidR="00384966" w:rsidRPr="008A4FE2">
        <w:rPr>
          <w:rFonts w:ascii="Arial" w:hAnsi="Arial" w:cs="Arial"/>
        </w:rPr>
        <w:t>ach prescription is regularly reviewed so that it is not issued for a medicine that is no longer required</w:t>
      </w:r>
      <w:r>
        <w:rPr>
          <w:rFonts w:ascii="Arial" w:hAnsi="Arial" w:cs="Arial"/>
        </w:rPr>
        <w:t>.</w:t>
      </w:r>
    </w:p>
    <w:p w14:paraId="67C8BCCC" w14:textId="66F430E7" w:rsidR="00384966" w:rsidRPr="008A4FE2" w:rsidRDefault="00E50D95" w:rsidP="00F2122C">
      <w:pPr>
        <w:pStyle w:val="Bullets"/>
        <w:ind w:left="567" w:hanging="567"/>
        <w:rPr>
          <w:rFonts w:ascii="Arial" w:hAnsi="Arial" w:cs="Arial"/>
        </w:rPr>
      </w:pPr>
      <w:r>
        <w:rPr>
          <w:rFonts w:ascii="Arial" w:hAnsi="Arial" w:cs="Arial"/>
        </w:rPr>
        <w:t>T</w:t>
      </w:r>
      <w:r w:rsidR="00384966" w:rsidRPr="008A4FE2">
        <w:rPr>
          <w:rFonts w:ascii="Arial" w:hAnsi="Arial" w:cs="Arial"/>
        </w:rPr>
        <w:t>he correct dose is prescribed for medicines where the dose varies during the course of the treatment</w:t>
      </w:r>
      <w:r>
        <w:rPr>
          <w:rFonts w:ascii="Arial" w:hAnsi="Arial" w:cs="Arial"/>
        </w:rPr>
        <w:t>.</w:t>
      </w:r>
    </w:p>
    <w:p w14:paraId="1AFFC690" w14:textId="0F20537B" w:rsidR="00384966" w:rsidRPr="008A4FE2" w:rsidRDefault="00E50D95" w:rsidP="00F2122C">
      <w:pPr>
        <w:pStyle w:val="Bullets"/>
        <w:ind w:left="567" w:hanging="567"/>
        <w:rPr>
          <w:rFonts w:ascii="Arial" w:hAnsi="Arial" w:cs="Arial"/>
        </w:rPr>
      </w:pPr>
      <w:r>
        <w:rPr>
          <w:rFonts w:ascii="Arial" w:hAnsi="Arial" w:cs="Arial"/>
        </w:rPr>
        <w:t>A</w:t>
      </w:r>
      <w:r w:rsidR="00384966" w:rsidRPr="008A4FE2">
        <w:rPr>
          <w:rFonts w:ascii="Arial" w:hAnsi="Arial" w:cs="Arial"/>
        </w:rPr>
        <w:t>ny subsidy conditions that have changed since the last prescription are amended</w:t>
      </w:r>
      <w:r w:rsidR="007667FE">
        <w:rPr>
          <w:rFonts w:ascii="Arial" w:hAnsi="Arial" w:cs="Arial"/>
        </w:rPr>
        <w:t>.</w:t>
      </w:r>
    </w:p>
    <w:p w14:paraId="61713DBB" w14:textId="662F4988" w:rsidR="00384966" w:rsidRPr="008A4FE2" w:rsidRDefault="00E50D95" w:rsidP="00F2122C">
      <w:pPr>
        <w:pStyle w:val="Bullets"/>
        <w:ind w:left="567" w:hanging="567"/>
        <w:rPr>
          <w:rFonts w:ascii="Arial" w:hAnsi="Arial" w:cs="Arial"/>
        </w:rPr>
      </w:pPr>
      <w:r>
        <w:rPr>
          <w:rFonts w:ascii="Arial" w:hAnsi="Arial" w:cs="Arial"/>
        </w:rPr>
        <w:t>A</w:t>
      </w:r>
      <w:r w:rsidR="00384966" w:rsidRPr="008A4FE2">
        <w:rPr>
          <w:rFonts w:ascii="Arial" w:hAnsi="Arial" w:cs="Arial"/>
        </w:rPr>
        <w:t>ll relevant information has been reviewed before completing the prescription</w:t>
      </w:r>
      <w:r w:rsidR="007667FE">
        <w:rPr>
          <w:rFonts w:ascii="Arial" w:hAnsi="Arial" w:cs="Arial"/>
        </w:rPr>
        <w:t>.</w:t>
      </w:r>
    </w:p>
    <w:p w14:paraId="505A0A58" w14:textId="77777777" w:rsidR="00384966" w:rsidRPr="00CF7ABA" w:rsidRDefault="00384966" w:rsidP="00F2122C">
      <w:pPr>
        <w:pStyle w:val="Bullets"/>
        <w:numPr>
          <w:ilvl w:val="0"/>
          <w:numId w:val="0"/>
        </w:numPr>
        <w:rPr>
          <w:rFonts w:ascii="Arial" w:hAnsi="Arial" w:cs="Arial"/>
        </w:rPr>
      </w:pPr>
      <w:r w:rsidRPr="00CF7ABA">
        <w:rPr>
          <w:rFonts w:ascii="Arial" w:hAnsi="Arial" w:cs="Arial"/>
        </w:rPr>
        <w:t xml:space="preserve">Repeat prescriptions should include details about the period of supply and state if more frequent dispensing is required in the interests of patient safety. Pharmacists are required to use their professional judgement to determine if more frequent dispensing is appropriate, so liaising with the patient’s pharmacist can be helpful.  </w:t>
      </w:r>
    </w:p>
    <w:p w14:paraId="294BC2E3" w14:textId="2ECDA57C" w:rsidR="00384966" w:rsidRPr="00CF7ABA" w:rsidRDefault="000633BB" w:rsidP="00F2122C">
      <w:pPr>
        <w:pStyle w:val="Bullets"/>
        <w:numPr>
          <w:ilvl w:val="0"/>
          <w:numId w:val="0"/>
        </w:numPr>
        <w:rPr>
          <w:rFonts w:ascii="Arial" w:hAnsi="Arial" w:cs="Arial"/>
        </w:rPr>
      </w:pPr>
      <w:r w:rsidRPr="00CF7ABA">
        <w:rPr>
          <w:rFonts w:ascii="Arial" w:hAnsi="Arial" w:cs="Arial"/>
        </w:rPr>
        <w:t xml:space="preserve">Patients receiving repeat prescriptions should be assessed on a regular basis to ensure that the prescription remains appropriate. Your practice’s repeat prescription policy must include a definition of what constitutes ‘appropriate regular’ </w:t>
      </w:r>
      <w:r>
        <w:rPr>
          <w:rFonts w:ascii="Arial" w:hAnsi="Arial" w:cs="Arial"/>
        </w:rPr>
        <w:t>review</w:t>
      </w:r>
      <w:r w:rsidRPr="00CF7ABA">
        <w:rPr>
          <w:rFonts w:ascii="Arial" w:hAnsi="Arial" w:cs="Arial"/>
        </w:rPr>
        <w:t>. This will take into consideration individual patients’ needs and specific medications.</w:t>
      </w:r>
    </w:p>
    <w:p w14:paraId="5A804E0A" w14:textId="77777777" w:rsidR="00384966" w:rsidRPr="00CF7ABA" w:rsidRDefault="00384966" w:rsidP="00F2122C">
      <w:pPr>
        <w:pStyle w:val="Bullets"/>
        <w:numPr>
          <w:ilvl w:val="0"/>
          <w:numId w:val="0"/>
        </w:numPr>
        <w:rPr>
          <w:rFonts w:ascii="Arial" w:hAnsi="Arial" w:cs="Arial"/>
        </w:rPr>
      </w:pPr>
      <w:r w:rsidRPr="00CF7ABA">
        <w:rPr>
          <w:rFonts w:ascii="Arial" w:hAnsi="Arial" w:cs="Arial"/>
        </w:rPr>
        <w:t>Patients who need a further examination or assessment should not receive repeat prescriptions without being seen by a doctor or nurse practitioner. This is particularly important in the case of medicines with potentially serious side effects.</w:t>
      </w:r>
    </w:p>
    <w:p w14:paraId="54AF45F4" w14:textId="77777777" w:rsidR="00384966" w:rsidRDefault="00100D18" w:rsidP="00384966">
      <w:pPr>
        <w:spacing w:before="240" w:after="120"/>
        <w:rPr>
          <w:b/>
          <w:color w:val="auto"/>
          <w:sz w:val="22"/>
          <w:szCs w:val="22"/>
        </w:rPr>
      </w:pPr>
      <w:r w:rsidRPr="00A81435">
        <w:rPr>
          <w:b/>
          <w:color w:val="auto"/>
          <w:sz w:val="22"/>
          <w:szCs w:val="22"/>
        </w:rPr>
        <w:t>Resources</w:t>
      </w:r>
    </w:p>
    <w:p w14:paraId="3604ECC0" w14:textId="77777777" w:rsidR="00A70D5A" w:rsidRPr="00B57694" w:rsidRDefault="00CF1416" w:rsidP="0024030C">
      <w:pPr>
        <w:pStyle w:val="Resourcelist"/>
        <w:spacing w:after="120"/>
        <w:rPr>
          <w:rStyle w:val="Hyperlink"/>
          <w:rFonts w:ascii="Arial" w:hAnsi="Arial" w:cs="Arial"/>
          <w:color w:val="0000FF"/>
        </w:rPr>
      </w:pPr>
      <w:hyperlink r:id="rId182" w:history="1">
        <w:r w:rsidR="00A70D5A" w:rsidRPr="00B57694">
          <w:rPr>
            <w:rStyle w:val="Hyperlink"/>
            <w:rFonts w:ascii="Arial" w:hAnsi="Arial" w:cs="Arial"/>
            <w:color w:val="0000FF"/>
          </w:rPr>
          <w:t>Ministry of Health: Standing order guidelines August 2016</w:t>
        </w:r>
      </w:hyperlink>
    </w:p>
    <w:p w14:paraId="32D552E8" w14:textId="11AB3FF1" w:rsidR="00384966" w:rsidRPr="00B57694" w:rsidRDefault="00CF1416" w:rsidP="0024030C">
      <w:pPr>
        <w:pStyle w:val="Resourcelist"/>
        <w:spacing w:after="120"/>
        <w:rPr>
          <w:rStyle w:val="Hyperlink"/>
          <w:rFonts w:ascii="Arial" w:hAnsi="Arial" w:cs="Arial"/>
          <w:color w:val="0000FF"/>
        </w:rPr>
      </w:pPr>
      <w:hyperlink r:id="rId183" w:history="1">
        <w:r w:rsidR="00384966" w:rsidRPr="00B57694">
          <w:rPr>
            <w:rStyle w:val="Hyperlink"/>
            <w:rFonts w:ascii="Arial" w:hAnsi="Arial" w:cs="Arial"/>
            <w:color w:val="0000FF"/>
          </w:rPr>
          <w:t>MCNZ: Good prescribing practice</w:t>
        </w:r>
      </w:hyperlink>
    </w:p>
    <w:p w14:paraId="3CDA4F65" w14:textId="50B4A69D" w:rsidR="00384966" w:rsidRPr="00B57694" w:rsidRDefault="00CF1416" w:rsidP="0024030C">
      <w:pPr>
        <w:pStyle w:val="Resourcelist"/>
        <w:spacing w:after="120"/>
        <w:rPr>
          <w:rStyle w:val="Hyperlink"/>
          <w:rFonts w:ascii="Arial" w:hAnsi="Arial" w:cs="Arial"/>
          <w:color w:val="0000FF"/>
        </w:rPr>
      </w:pPr>
      <w:hyperlink r:id="rId184" w:history="1">
        <w:r w:rsidR="00384966" w:rsidRPr="00B57694">
          <w:rPr>
            <w:rStyle w:val="Hyperlink"/>
            <w:rFonts w:ascii="Arial" w:hAnsi="Arial" w:cs="Arial"/>
            <w:color w:val="0000FF"/>
          </w:rPr>
          <w:t xml:space="preserve">New Zealand Nurses Organisation: </w:t>
        </w:r>
        <w:r w:rsidR="0076335E" w:rsidRPr="00B57694">
          <w:rPr>
            <w:rStyle w:val="Hyperlink"/>
            <w:rFonts w:ascii="Arial" w:hAnsi="Arial" w:cs="Arial"/>
            <w:color w:val="0000FF"/>
          </w:rPr>
          <w:t>Medicines – Guidelines and Information</w:t>
        </w:r>
      </w:hyperlink>
    </w:p>
    <w:p w14:paraId="7F8BB04B" w14:textId="77777777" w:rsidR="00384966" w:rsidRPr="00B57694" w:rsidRDefault="00CF1416" w:rsidP="0024030C">
      <w:pPr>
        <w:pStyle w:val="Resourcelist"/>
        <w:spacing w:after="120"/>
        <w:rPr>
          <w:rStyle w:val="Hyperlink"/>
          <w:rFonts w:ascii="Arial" w:hAnsi="Arial" w:cs="Arial"/>
          <w:color w:val="0000FF"/>
        </w:rPr>
      </w:pPr>
      <w:hyperlink r:id="rId185" w:history="1">
        <w:r w:rsidR="00384966" w:rsidRPr="00B57694">
          <w:rPr>
            <w:rStyle w:val="Hyperlink"/>
            <w:rFonts w:ascii="Arial" w:hAnsi="Arial" w:cs="Arial"/>
            <w:color w:val="0000FF"/>
          </w:rPr>
          <w:t>NZ ePrescription Service (NZePS)</w:t>
        </w:r>
      </w:hyperlink>
    </w:p>
    <w:p w14:paraId="1E922964" w14:textId="7D479E0E" w:rsidR="00384966" w:rsidRPr="00B57694" w:rsidRDefault="00CF1416" w:rsidP="0024030C">
      <w:pPr>
        <w:pStyle w:val="Resourcelist"/>
        <w:spacing w:after="120"/>
        <w:rPr>
          <w:rStyle w:val="Hyperlink"/>
          <w:rFonts w:ascii="Arial" w:hAnsi="Arial" w:cs="Arial"/>
          <w:color w:val="0000FF"/>
        </w:rPr>
      </w:pPr>
      <w:hyperlink r:id="rId186" w:history="1">
        <w:r w:rsidR="00384966" w:rsidRPr="00B57694">
          <w:rPr>
            <w:rStyle w:val="Hyperlink"/>
            <w:rFonts w:ascii="Arial" w:hAnsi="Arial" w:cs="Arial"/>
            <w:color w:val="0000FF"/>
          </w:rPr>
          <w:t xml:space="preserve">The New Zealand Formulary </w:t>
        </w:r>
      </w:hyperlink>
    </w:p>
    <w:p w14:paraId="684A9E51" w14:textId="77777777" w:rsidR="00384966" w:rsidRPr="00B57694" w:rsidRDefault="00CF1416" w:rsidP="0024030C">
      <w:pPr>
        <w:pStyle w:val="Resourcelist"/>
        <w:spacing w:after="120"/>
        <w:rPr>
          <w:rFonts w:ascii="Arial" w:hAnsi="Arial" w:cs="Arial"/>
        </w:rPr>
      </w:pPr>
      <w:hyperlink r:id="rId187" w:history="1">
        <w:r w:rsidR="00384966" w:rsidRPr="00B57694">
          <w:rPr>
            <w:rStyle w:val="Hyperlink"/>
            <w:rFonts w:ascii="Arial" w:hAnsi="Arial" w:cs="Arial"/>
            <w:color w:val="0000FF"/>
          </w:rPr>
          <w:t>Ministry of Health. Implementing Medicines New Zealand 2015 to 2030</w:t>
        </w:r>
      </w:hyperlink>
      <w:r w:rsidR="00384966" w:rsidRPr="00B57694">
        <w:rPr>
          <w:rFonts w:ascii="Arial" w:hAnsi="Arial" w:cs="Arial"/>
        </w:rPr>
        <w:t>.</w:t>
      </w:r>
    </w:p>
    <w:p w14:paraId="1244CA81" w14:textId="371E807D" w:rsidR="00384966" w:rsidRPr="00DD24D5" w:rsidRDefault="00384966" w:rsidP="00384966">
      <w:pPr>
        <w:spacing w:before="240" w:after="120"/>
      </w:pPr>
    </w:p>
    <w:p w14:paraId="255EBA92" w14:textId="77777777" w:rsidR="00E73886" w:rsidRPr="00384966" w:rsidRDefault="00E73886" w:rsidP="00384966">
      <w:pPr>
        <w:pStyle w:val="Resourcelist"/>
        <w:ind w:left="568"/>
      </w:pPr>
      <w:r w:rsidRPr="00384966">
        <w:rPr>
          <w:b/>
          <w:color w:val="EE7624"/>
          <w:sz w:val="28"/>
        </w:rPr>
        <w:br w:type="page"/>
      </w:r>
    </w:p>
    <w:p w14:paraId="6044D103" w14:textId="6B017DB9" w:rsidR="004A2397" w:rsidRPr="00C55F31" w:rsidRDefault="00A826EF" w:rsidP="00F2122C">
      <w:pPr>
        <w:pStyle w:val="HHLSubHeading"/>
        <w:numPr>
          <w:ilvl w:val="0"/>
          <w:numId w:val="0"/>
        </w:numPr>
        <w:tabs>
          <w:tab w:val="left" w:pos="1560"/>
        </w:tabs>
      </w:pPr>
      <w:bookmarkStart w:id="70" w:name="_Toc6998687"/>
      <w:r w:rsidRPr="00C55F31">
        <w:lastRenderedPageBreak/>
        <w:t>Indicator 2</w:t>
      </w:r>
      <w:r w:rsidR="00C447AF">
        <w:t>5</w:t>
      </w:r>
      <w:r w:rsidRPr="00C55F31">
        <w:t>.</w:t>
      </w:r>
      <w:r w:rsidR="00F2122C">
        <w:tab/>
      </w:r>
      <w:r w:rsidR="004A2397" w:rsidRPr="00C55F31">
        <w:t>Controlled drugs</w:t>
      </w:r>
      <w:bookmarkEnd w:id="70"/>
    </w:p>
    <w:p w14:paraId="539AB60B" w14:textId="4ED6C19A" w:rsidR="00A826EF" w:rsidRPr="004A2397" w:rsidRDefault="008A6A83" w:rsidP="004A2397">
      <w:pPr>
        <w:pStyle w:val="HHLBodyText"/>
        <w:rPr>
          <w:b/>
        </w:rPr>
      </w:pPr>
      <w:r>
        <w:rPr>
          <w:b/>
        </w:rPr>
        <w:t>Our practice stores, p</w:t>
      </w:r>
      <w:r w:rsidRPr="001F7077">
        <w:rPr>
          <w:b/>
        </w:rPr>
        <w:t>rescrib</w:t>
      </w:r>
      <w:r>
        <w:rPr>
          <w:b/>
        </w:rPr>
        <w:t xml:space="preserve">es and dispenses </w:t>
      </w:r>
      <w:r w:rsidR="00C03DF7">
        <w:rPr>
          <w:b/>
        </w:rPr>
        <w:t xml:space="preserve">and reconciles </w:t>
      </w:r>
      <w:r>
        <w:rPr>
          <w:b/>
        </w:rPr>
        <w:t xml:space="preserve">controlled </w:t>
      </w:r>
    </w:p>
    <w:tbl>
      <w:tblPr>
        <w:tblStyle w:val="TableGrid1"/>
        <w:tblW w:w="0" w:type="auto"/>
        <w:tblLook w:val="04A0" w:firstRow="1" w:lastRow="0" w:firstColumn="1" w:lastColumn="0" w:noHBand="0" w:noVBand="1"/>
      </w:tblPr>
      <w:tblGrid>
        <w:gridCol w:w="1152"/>
        <w:gridCol w:w="4539"/>
        <w:gridCol w:w="4051"/>
      </w:tblGrid>
      <w:tr w:rsidR="00A826EF" w:rsidRPr="00A81435" w14:paraId="2EB7F4FC" w14:textId="77777777" w:rsidTr="00185102">
        <w:tc>
          <w:tcPr>
            <w:tcW w:w="1153" w:type="dxa"/>
            <w:shd w:val="clear" w:color="auto" w:fill="FBD4B4" w:themeFill="accent6" w:themeFillTint="66"/>
          </w:tcPr>
          <w:p w14:paraId="7146B715" w14:textId="77777777" w:rsidR="00A826EF" w:rsidRPr="00A81435" w:rsidRDefault="00A826EF" w:rsidP="0018510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40EAA0D5" w14:textId="77777777" w:rsidR="00A826EF" w:rsidRPr="00A81435" w:rsidRDefault="00A826EF" w:rsidP="0018510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0428DD21" w14:textId="05C05013" w:rsidR="00A826EF" w:rsidRPr="00A81435" w:rsidRDefault="00A826EF" w:rsidP="00185102">
            <w:pPr>
              <w:spacing w:before="120" w:after="120"/>
              <w:rPr>
                <w:b/>
                <w:color w:val="auto"/>
                <w:sz w:val="22"/>
                <w:szCs w:val="22"/>
              </w:rPr>
            </w:pPr>
            <w:r w:rsidRPr="00A81435">
              <w:rPr>
                <w:b/>
                <w:color w:val="auto"/>
                <w:sz w:val="22"/>
                <w:szCs w:val="22"/>
              </w:rPr>
              <w:t>Required evidence</w:t>
            </w:r>
          </w:p>
        </w:tc>
      </w:tr>
      <w:tr w:rsidR="00723A9A" w:rsidRPr="00A81435" w14:paraId="38790FF4" w14:textId="77777777" w:rsidTr="00185102">
        <w:tc>
          <w:tcPr>
            <w:tcW w:w="1153" w:type="dxa"/>
          </w:tcPr>
          <w:p w14:paraId="623E31A6" w14:textId="4351FC99" w:rsidR="00723A9A" w:rsidRPr="00A81435" w:rsidRDefault="00723A9A" w:rsidP="00723A9A">
            <w:pPr>
              <w:spacing w:before="60"/>
              <w:rPr>
                <w:color w:val="auto"/>
                <w:sz w:val="22"/>
                <w:szCs w:val="22"/>
              </w:rPr>
            </w:pPr>
            <w:r>
              <w:rPr>
                <w:color w:val="auto"/>
                <w:sz w:val="22"/>
                <w:szCs w:val="22"/>
              </w:rPr>
              <w:t>25</w:t>
            </w:r>
            <w:r w:rsidRPr="00A81435">
              <w:rPr>
                <w:color w:val="auto"/>
                <w:sz w:val="22"/>
                <w:szCs w:val="22"/>
              </w:rPr>
              <w:t>.1</w:t>
            </w:r>
          </w:p>
        </w:tc>
        <w:tc>
          <w:tcPr>
            <w:tcW w:w="4568" w:type="dxa"/>
          </w:tcPr>
          <w:p w14:paraId="07039FCD" w14:textId="3DCC9064" w:rsidR="00723A9A" w:rsidRPr="00192578" w:rsidRDefault="00723A9A" w:rsidP="00ED3480">
            <w:pPr>
              <w:tabs>
                <w:tab w:val="left" w:pos="151"/>
              </w:tabs>
              <w:spacing w:before="60"/>
              <w:rPr>
                <w:rFonts w:cs="Arial"/>
                <w:color w:val="auto"/>
                <w:sz w:val="22"/>
                <w:szCs w:val="22"/>
              </w:rPr>
            </w:pPr>
            <w:r w:rsidRPr="00192578">
              <w:rPr>
                <w:rFonts w:cs="Arial"/>
                <w:color w:val="auto"/>
                <w:sz w:val="22"/>
                <w:szCs w:val="22"/>
              </w:rPr>
              <w:t>Store controlled drugs according to the</w:t>
            </w:r>
            <w:r>
              <w:rPr>
                <w:rFonts w:cs="Arial"/>
                <w:color w:val="auto"/>
                <w:sz w:val="22"/>
                <w:szCs w:val="22"/>
              </w:rPr>
              <w:t xml:space="preserve"> Misuse of Drugs Act 1975 and Misuse of Drugs Regulations 1977.</w:t>
            </w:r>
          </w:p>
        </w:tc>
        <w:tc>
          <w:tcPr>
            <w:tcW w:w="4075" w:type="dxa"/>
          </w:tcPr>
          <w:p w14:paraId="31161D91" w14:textId="0A42728E" w:rsidR="00723A9A" w:rsidRPr="008A6A83" w:rsidRDefault="00E83489" w:rsidP="00C03DF7">
            <w:pPr>
              <w:spacing w:before="60"/>
              <w:rPr>
                <w:color w:val="auto"/>
                <w:sz w:val="22"/>
                <w:szCs w:val="22"/>
              </w:rPr>
            </w:pPr>
            <w:r w:rsidRPr="008A6A83">
              <w:rPr>
                <w:color w:val="auto"/>
                <w:sz w:val="22"/>
                <w:szCs w:val="22"/>
              </w:rPr>
              <w:t xml:space="preserve">Policy and procedure for the storage </w:t>
            </w:r>
            <w:r w:rsidR="00723A9A" w:rsidRPr="008A6A83">
              <w:rPr>
                <w:color w:val="auto"/>
                <w:sz w:val="22"/>
                <w:szCs w:val="22"/>
              </w:rPr>
              <w:t>of controlled drugs</w:t>
            </w:r>
            <w:r w:rsidR="001F7126" w:rsidRPr="008A6A83">
              <w:rPr>
                <w:color w:val="auto"/>
                <w:sz w:val="22"/>
                <w:szCs w:val="22"/>
              </w:rPr>
              <w:t>.</w:t>
            </w:r>
          </w:p>
        </w:tc>
      </w:tr>
      <w:tr w:rsidR="00723A9A" w:rsidRPr="00A81435" w14:paraId="0E184EC3" w14:textId="77777777" w:rsidTr="00185102">
        <w:tc>
          <w:tcPr>
            <w:tcW w:w="1153" w:type="dxa"/>
          </w:tcPr>
          <w:p w14:paraId="7C2D9B3A" w14:textId="2D5BE48C" w:rsidR="00723A9A" w:rsidRDefault="00723A9A" w:rsidP="00723A9A">
            <w:pPr>
              <w:spacing w:before="60"/>
              <w:rPr>
                <w:color w:val="auto"/>
                <w:sz w:val="22"/>
                <w:szCs w:val="22"/>
              </w:rPr>
            </w:pPr>
            <w:r>
              <w:rPr>
                <w:color w:val="auto"/>
                <w:sz w:val="22"/>
                <w:szCs w:val="22"/>
              </w:rPr>
              <w:t>25.2</w:t>
            </w:r>
          </w:p>
        </w:tc>
        <w:tc>
          <w:tcPr>
            <w:tcW w:w="4568" w:type="dxa"/>
          </w:tcPr>
          <w:p w14:paraId="7CA8FB66" w14:textId="57BA4875" w:rsidR="00723A9A" w:rsidRPr="00192578" w:rsidRDefault="00723A9A" w:rsidP="00723A9A">
            <w:pPr>
              <w:tabs>
                <w:tab w:val="left" w:pos="151"/>
              </w:tabs>
              <w:spacing w:before="60"/>
              <w:rPr>
                <w:rFonts w:cs="Arial"/>
                <w:color w:val="auto"/>
                <w:sz w:val="22"/>
                <w:szCs w:val="22"/>
              </w:rPr>
            </w:pPr>
            <w:r w:rsidRPr="00192578">
              <w:rPr>
                <w:rFonts w:cs="Arial"/>
                <w:color w:val="auto"/>
                <w:sz w:val="22"/>
                <w:szCs w:val="22"/>
              </w:rPr>
              <w:t>Have a process for recording transactions of controlled drugs</w:t>
            </w:r>
            <w:r>
              <w:rPr>
                <w:rFonts w:cs="Arial"/>
                <w:color w:val="auto"/>
                <w:sz w:val="22"/>
                <w:szCs w:val="22"/>
              </w:rPr>
              <w:t>.</w:t>
            </w:r>
          </w:p>
        </w:tc>
        <w:tc>
          <w:tcPr>
            <w:tcW w:w="4075" w:type="dxa"/>
          </w:tcPr>
          <w:p w14:paraId="6F679AF8" w14:textId="2C18C752" w:rsidR="008A6A83" w:rsidRPr="008A6A83" w:rsidRDefault="008A6A83" w:rsidP="00C03DF7">
            <w:pPr>
              <w:spacing w:before="60"/>
              <w:rPr>
                <w:color w:val="auto"/>
                <w:sz w:val="22"/>
                <w:szCs w:val="22"/>
              </w:rPr>
            </w:pPr>
            <w:r w:rsidRPr="008A6A83">
              <w:rPr>
                <w:color w:val="auto"/>
                <w:sz w:val="22"/>
                <w:szCs w:val="22"/>
              </w:rPr>
              <w:t>Demonstrate the use of a c</w:t>
            </w:r>
            <w:r w:rsidR="00723A9A" w:rsidRPr="008A6A83">
              <w:rPr>
                <w:color w:val="auto"/>
                <w:sz w:val="22"/>
                <w:szCs w:val="22"/>
              </w:rPr>
              <w:t>ontrolled drug register</w:t>
            </w:r>
            <w:r w:rsidRPr="008A6A83">
              <w:rPr>
                <w:color w:val="auto"/>
                <w:sz w:val="22"/>
                <w:szCs w:val="22"/>
              </w:rPr>
              <w:t>.</w:t>
            </w:r>
          </w:p>
          <w:p w14:paraId="79C177A8" w14:textId="6A899299" w:rsidR="00723A9A" w:rsidRPr="008A6A83" w:rsidRDefault="008A6A83" w:rsidP="00C03DF7">
            <w:pPr>
              <w:spacing w:before="60"/>
              <w:rPr>
                <w:color w:val="auto"/>
                <w:sz w:val="22"/>
                <w:szCs w:val="22"/>
              </w:rPr>
            </w:pPr>
            <w:r w:rsidRPr="008A6A83">
              <w:rPr>
                <w:color w:val="auto"/>
                <w:sz w:val="22"/>
                <w:szCs w:val="22"/>
              </w:rPr>
              <w:t xml:space="preserve">Where controlled drugs are </w:t>
            </w:r>
            <w:r w:rsidR="00C03DF7" w:rsidRPr="008A6A83">
              <w:rPr>
                <w:color w:val="auto"/>
                <w:sz w:val="22"/>
                <w:szCs w:val="22"/>
              </w:rPr>
              <w:t>dispensed,</w:t>
            </w:r>
            <w:r w:rsidRPr="008A6A83">
              <w:rPr>
                <w:color w:val="auto"/>
                <w:sz w:val="22"/>
                <w:szCs w:val="22"/>
              </w:rPr>
              <w:t xml:space="preserve"> </w:t>
            </w:r>
            <w:r w:rsidR="00C03DF7">
              <w:rPr>
                <w:color w:val="auto"/>
                <w:sz w:val="22"/>
                <w:szCs w:val="22"/>
              </w:rPr>
              <w:t>demonstrate how they</w:t>
            </w:r>
            <w:r w:rsidRPr="008A6A83">
              <w:rPr>
                <w:color w:val="auto"/>
                <w:sz w:val="22"/>
                <w:szCs w:val="22"/>
              </w:rPr>
              <w:t xml:space="preserve"> are </w:t>
            </w:r>
            <w:r w:rsidR="00E83489" w:rsidRPr="008A6A83">
              <w:rPr>
                <w:color w:val="auto"/>
                <w:sz w:val="22"/>
                <w:szCs w:val="22"/>
              </w:rPr>
              <w:t xml:space="preserve">recorded </w:t>
            </w:r>
            <w:r w:rsidRPr="008A6A83">
              <w:rPr>
                <w:color w:val="auto"/>
                <w:sz w:val="22"/>
                <w:szCs w:val="22"/>
              </w:rPr>
              <w:t xml:space="preserve">in the register </w:t>
            </w:r>
            <w:r w:rsidR="00E83489" w:rsidRPr="008A6A83">
              <w:rPr>
                <w:color w:val="auto"/>
                <w:sz w:val="22"/>
                <w:szCs w:val="22"/>
              </w:rPr>
              <w:t>and reconciled in the PMS</w:t>
            </w:r>
            <w:r w:rsidR="001F7126" w:rsidRPr="008A6A83">
              <w:rPr>
                <w:color w:val="auto"/>
                <w:sz w:val="22"/>
                <w:szCs w:val="22"/>
              </w:rPr>
              <w:t>.</w:t>
            </w:r>
          </w:p>
        </w:tc>
      </w:tr>
      <w:tr w:rsidR="00723A9A" w:rsidRPr="00A81435" w14:paraId="0E613480" w14:textId="77777777" w:rsidTr="00185102">
        <w:tc>
          <w:tcPr>
            <w:tcW w:w="1153" w:type="dxa"/>
          </w:tcPr>
          <w:p w14:paraId="6F5FD26D" w14:textId="07C361FC" w:rsidR="00723A9A" w:rsidRDefault="00723A9A" w:rsidP="00723A9A">
            <w:pPr>
              <w:spacing w:before="60"/>
              <w:rPr>
                <w:color w:val="auto"/>
                <w:sz w:val="22"/>
                <w:szCs w:val="22"/>
              </w:rPr>
            </w:pPr>
            <w:r>
              <w:rPr>
                <w:color w:val="auto"/>
                <w:sz w:val="22"/>
                <w:szCs w:val="22"/>
              </w:rPr>
              <w:t>25.3</w:t>
            </w:r>
          </w:p>
        </w:tc>
        <w:tc>
          <w:tcPr>
            <w:tcW w:w="4568" w:type="dxa"/>
          </w:tcPr>
          <w:p w14:paraId="4A187FBB" w14:textId="1C055682" w:rsidR="00723A9A" w:rsidRPr="00192578" w:rsidRDefault="00723A9A" w:rsidP="00723A9A">
            <w:pPr>
              <w:tabs>
                <w:tab w:val="left" w:pos="151"/>
              </w:tabs>
              <w:spacing w:before="60"/>
              <w:rPr>
                <w:rFonts w:cs="Arial"/>
                <w:color w:val="auto"/>
                <w:sz w:val="22"/>
                <w:szCs w:val="22"/>
              </w:rPr>
            </w:pPr>
            <w:r w:rsidRPr="00192578">
              <w:rPr>
                <w:rFonts w:cs="Arial"/>
                <w:color w:val="auto"/>
                <w:sz w:val="22"/>
                <w:szCs w:val="22"/>
              </w:rPr>
              <w:t>Securely store and monitor the use of controlled drugs’ prescription pads</w:t>
            </w:r>
            <w:r>
              <w:rPr>
                <w:rFonts w:cs="Arial"/>
                <w:color w:val="auto"/>
                <w:sz w:val="22"/>
                <w:szCs w:val="22"/>
              </w:rPr>
              <w:t>.</w:t>
            </w:r>
          </w:p>
        </w:tc>
        <w:tc>
          <w:tcPr>
            <w:tcW w:w="4075" w:type="dxa"/>
          </w:tcPr>
          <w:p w14:paraId="5EB8AAC9" w14:textId="3AC9E966" w:rsidR="00723A9A" w:rsidRPr="008A6A83" w:rsidRDefault="00E83489" w:rsidP="00C03DF7">
            <w:pPr>
              <w:spacing w:before="60"/>
              <w:rPr>
                <w:color w:val="auto"/>
                <w:sz w:val="22"/>
                <w:szCs w:val="22"/>
              </w:rPr>
            </w:pPr>
            <w:r w:rsidRPr="008A6A83">
              <w:rPr>
                <w:color w:val="auto"/>
                <w:sz w:val="22"/>
                <w:szCs w:val="22"/>
              </w:rPr>
              <w:t>Demonstrate s</w:t>
            </w:r>
            <w:r w:rsidR="00723A9A" w:rsidRPr="008A6A83">
              <w:rPr>
                <w:color w:val="auto"/>
                <w:sz w:val="22"/>
                <w:szCs w:val="22"/>
              </w:rPr>
              <w:t>torage of controlled drug prescription pads</w:t>
            </w:r>
            <w:r w:rsidR="001F7126" w:rsidRPr="008A6A83">
              <w:rPr>
                <w:color w:val="auto"/>
                <w:sz w:val="22"/>
                <w:szCs w:val="22"/>
              </w:rPr>
              <w:t>.</w:t>
            </w:r>
          </w:p>
          <w:p w14:paraId="28E90493" w14:textId="11F786BE" w:rsidR="00723A9A" w:rsidRPr="008A6A83" w:rsidRDefault="00723A9A" w:rsidP="00C03DF7">
            <w:pPr>
              <w:spacing w:before="60"/>
              <w:rPr>
                <w:color w:val="auto"/>
                <w:sz w:val="22"/>
                <w:szCs w:val="22"/>
              </w:rPr>
            </w:pPr>
            <w:r w:rsidRPr="008A6A83">
              <w:rPr>
                <w:color w:val="auto"/>
                <w:sz w:val="22"/>
                <w:szCs w:val="22"/>
              </w:rPr>
              <w:t xml:space="preserve">Documented record </w:t>
            </w:r>
            <w:r w:rsidR="00E83489" w:rsidRPr="008A6A83">
              <w:rPr>
                <w:color w:val="auto"/>
                <w:sz w:val="22"/>
                <w:szCs w:val="22"/>
              </w:rPr>
              <w:t xml:space="preserve">for </w:t>
            </w:r>
            <w:r w:rsidR="00ED3480" w:rsidRPr="008A6A83">
              <w:rPr>
                <w:color w:val="auto"/>
                <w:sz w:val="22"/>
                <w:szCs w:val="22"/>
              </w:rPr>
              <w:t xml:space="preserve">the </w:t>
            </w:r>
            <w:r w:rsidRPr="008A6A83">
              <w:rPr>
                <w:color w:val="auto"/>
                <w:sz w:val="22"/>
                <w:szCs w:val="22"/>
              </w:rPr>
              <w:t>monitoring the controlled drug prescription pads</w:t>
            </w:r>
            <w:r w:rsidR="001F7126" w:rsidRPr="008A6A83">
              <w:rPr>
                <w:color w:val="auto"/>
                <w:sz w:val="22"/>
                <w:szCs w:val="22"/>
              </w:rPr>
              <w:t>.</w:t>
            </w:r>
          </w:p>
        </w:tc>
      </w:tr>
    </w:tbl>
    <w:p w14:paraId="4403A186" w14:textId="77777777" w:rsidR="00B42A08" w:rsidRPr="005B2DE1" w:rsidRDefault="00B42A08" w:rsidP="00B42A08">
      <w:pPr>
        <w:pStyle w:val="HHLBodyText"/>
        <w:spacing w:before="240"/>
        <w:rPr>
          <w:b/>
          <w:sz w:val="22"/>
          <w:szCs w:val="22"/>
        </w:rPr>
      </w:pPr>
      <w:r w:rsidRPr="005B2DE1">
        <w:rPr>
          <w:b/>
          <w:sz w:val="22"/>
          <w:szCs w:val="22"/>
        </w:rPr>
        <w:t>Required training</w:t>
      </w:r>
    </w:p>
    <w:p w14:paraId="675B5BEC" w14:textId="60F97AF3" w:rsidR="00AF3512" w:rsidRPr="00EF0A0E" w:rsidRDefault="009357CE"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1765DA09" w14:textId="4B193D6A" w:rsidR="00A826EF" w:rsidRDefault="00A826EF" w:rsidP="00A826EF">
      <w:pPr>
        <w:spacing w:before="240" w:after="120"/>
        <w:rPr>
          <w:b/>
          <w:color w:val="auto"/>
          <w:sz w:val="22"/>
          <w:szCs w:val="22"/>
        </w:rPr>
      </w:pPr>
      <w:r w:rsidRPr="00A81435">
        <w:rPr>
          <w:b/>
          <w:color w:val="auto"/>
          <w:sz w:val="22"/>
          <w:szCs w:val="22"/>
        </w:rPr>
        <w:t>Guidance notes</w:t>
      </w:r>
    </w:p>
    <w:p w14:paraId="7AE162F8" w14:textId="34D23166" w:rsidR="00516E28" w:rsidRPr="00ED4745" w:rsidRDefault="00516E28" w:rsidP="00516E28">
      <w:pPr>
        <w:rPr>
          <w:color w:val="000000"/>
          <w:sz w:val="22"/>
          <w:szCs w:val="22"/>
        </w:rPr>
      </w:pPr>
      <w:r w:rsidRPr="00ED4745">
        <w:rPr>
          <w:color w:val="000000"/>
          <w:sz w:val="22"/>
          <w:szCs w:val="22"/>
        </w:rPr>
        <w:t xml:space="preserve">The handling and </w:t>
      </w:r>
      <w:hyperlink r:id="rId188" w:history="1">
        <w:r w:rsidRPr="00ED4745">
          <w:rPr>
            <w:rStyle w:val="Hyperlink"/>
            <w:sz w:val="22"/>
            <w:szCs w:val="22"/>
          </w:rPr>
          <w:t>prescribing of controlled drugs</w:t>
        </w:r>
      </w:hyperlink>
      <w:r w:rsidRPr="00ED4745">
        <w:rPr>
          <w:color w:val="000000"/>
          <w:sz w:val="22"/>
          <w:szCs w:val="22"/>
        </w:rPr>
        <w:t xml:space="preserve"> </w:t>
      </w:r>
      <w:r w:rsidR="000D5EFB">
        <w:rPr>
          <w:color w:val="000000"/>
          <w:sz w:val="22"/>
          <w:szCs w:val="22"/>
        </w:rPr>
        <w:t xml:space="preserve"> reflects </w:t>
      </w:r>
      <w:r w:rsidRPr="00ED4745">
        <w:rPr>
          <w:color w:val="000000"/>
          <w:sz w:val="22"/>
          <w:szCs w:val="22"/>
        </w:rPr>
        <w:t xml:space="preserve"> the need to restrict access to, and minimise the misuse of, this type of medicine.</w:t>
      </w:r>
    </w:p>
    <w:p w14:paraId="339EC978" w14:textId="77777777" w:rsidR="00516E28" w:rsidRPr="006923AC" w:rsidRDefault="00516E28" w:rsidP="00D81967">
      <w:pPr>
        <w:pStyle w:val="HHLBodyText"/>
        <w:spacing w:before="240"/>
        <w:rPr>
          <w:i/>
        </w:rPr>
      </w:pPr>
      <w:r w:rsidRPr="006923AC">
        <w:rPr>
          <w:i/>
        </w:rPr>
        <w:t>Storage and custody of controlled drugs</w:t>
      </w:r>
    </w:p>
    <w:p w14:paraId="6DA3C05B" w14:textId="77777777" w:rsidR="00516E28" w:rsidRPr="0019144E" w:rsidRDefault="00516E28" w:rsidP="005D46EF">
      <w:pPr>
        <w:pStyle w:val="Bullets"/>
        <w:numPr>
          <w:ilvl w:val="0"/>
          <w:numId w:val="0"/>
        </w:numPr>
        <w:rPr>
          <w:rFonts w:ascii="Arial" w:hAnsi="Arial" w:cs="Arial"/>
        </w:rPr>
      </w:pPr>
      <w:r w:rsidRPr="0019144E">
        <w:rPr>
          <w:rFonts w:ascii="Arial" w:hAnsi="Arial" w:cs="Arial"/>
        </w:rPr>
        <w:t>Any controlled drug that is not required for immediate use:</w:t>
      </w:r>
    </w:p>
    <w:p w14:paraId="3E175300" w14:textId="1E7CEFCB" w:rsidR="00516E28" w:rsidRPr="0019144E" w:rsidRDefault="00516E28" w:rsidP="00F2122C">
      <w:pPr>
        <w:pStyle w:val="Bullets"/>
        <w:ind w:left="567" w:hanging="567"/>
        <w:rPr>
          <w:rFonts w:ascii="Arial" w:hAnsi="Arial" w:cs="Arial"/>
        </w:rPr>
      </w:pPr>
      <w:r w:rsidRPr="0019144E">
        <w:rPr>
          <w:rFonts w:ascii="Arial" w:hAnsi="Arial" w:cs="Arial"/>
        </w:rPr>
        <w:t>Keep it in a locked cupboard, or a locked compartment, that is constructed of metal or concrete or both, and that, in the case of a cupboard or compartment installed in a building after the commencement of these regulations, is of an approved type</w:t>
      </w:r>
      <w:r w:rsidR="00C517EF">
        <w:rPr>
          <w:rFonts w:ascii="Arial" w:hAnsi="Arial" w:cs="Arial"/>
        </w:rPr>
        <w:t>.</w:t>
      </w:r>
    </w:p>
    <w:p w14:paraId="1FD80F3A" w14:textId="3F7D1392" w:rsidR="00516E28" w:rsidRPr="0019144E" w:rsidRDefault="00516E28" w:rsidP="00F2122C">
      <w:pPr>
        <w:pStyle w:val="Bullets"/>
        <w:ind w:left="567" w:hanging="567"/>
        <w:rPr>
          <w:rFonts w:ascii="Arial" w:hAnsi="Arial" w:cs="Arial"/>
        </w:rPr>
      </w:pPr>
      <w:r w:rsidRPr="0019144E">
        <w:rPr>
          <w:rFonts w:ascii="Arial" w:hAnsi="Arial" w:cs="Arial"/>
        </w:rPr>
        <w:t>Ensure that the cupboard or compartment is securely fixed to, or is part of, the building</w:t>
      </w:r>
      <w:r w:rsidR="006D4BE2">
        <w:rPr>
          <w:rFonts w:ascii="Arial" w:hAnsi="Arial" w:cs="Arial"/>
        </w:rPr>
        <w:t xml:space="preserve">. </w:t>
      </w:r>
    </w:p>
    <w:p w14:paraId="48C56A6D" w14:textId="607CF9EA" w:rsidR="005765B9" w:rsidRPr="00C517EF" w:rsidRDefault="005765B9" w:rsidP="00F2122C">
      <w:pPr>
        <w:pStyle w:val="Bullets"/>
        <w:ind w:left="567" w:hanging="567"/>
        <w:rPr>
          <w:rFonts w:ascii="Arial" w:hAnsi="Arial" w:cs="Arial"/>
        </w:rPr>
      </w:pPr>
      <w:r w:rsidRPr="00C517EF">
        <w:rPr>
          <w:rFonts w:ascii="Arial" w:hAnsi="Arial" w:cs="Arial"/>
        </w:rPr>
        <w:t xml:space="preserve">Ensure that the key of the cupboard or compartment is kept in a safe place when not in use. </w:t>
      </w:r>
    </w:p>
    <w:p w14:paraId="5890A0F4" w14:textId="77777777" w:rsidR="005765B9" w:rsidRPr="00C517EF" w:rsidRDefault="005765B9" w:rsidP="00F2122C">
      <w:pPr>
        <w:pStyle w:val="Bullets"/>
        <w:ind w:left="567" w:hanging="567"/>
        <w:rPr>
          <w:rFonts w:ascii="Arial" w:hAnsi="Arial" w:cs="Arial"/>
        </w:rPr>
      </w:pPr>
      <w:r w:rsidRPr="00C517EF">
        <w:rPr>
          <w:rFonts w:ascii="Arial" w:hAnsi="Arial" w:cs="Arial"/>
        </w:rPr>
        <w:t>Controlled drug prescription pads and forms must also be kept secure (usually in the controlled drugs cabinet or a locked cupboard) and recorded for monitoring. Your practice will need to be able to demonstrate how you store and monitor the use of controlled drugs prescription pads. There should be a process for notifying relevant authorities if controlled drug prescriptions are found to be missing.</w:t>
      </w:r>
    </w:p>
    <w:p w14:paraId="747E5EBA" w14:textId="77777777" w:rsidR="00516E28" w:rsidRPr="006923AC" w:rsidRDefault="00516E28" w:rsidP="00D81967">
      <w:pPr>
        <w:pStyle w:val="HHLBodyText"/>
        <w:spacing w:before="240"/>
        <w:rPr>
          <w:i/>
        </w:rPr>
      </w:pPr>
      <w:r w:rsidRPr="006923AC">
        <w:rPr>
          <w:i/>
        </w:rPr>
        <w:t>Controlled drug register</w:t>
      </w:r>
    </w:p>
    <w:p w14:paraId="2F050613" w14:textId="21C0FB48" w:rsidR="00516E28" w:rsidRPr="005D46EF" w:rsidRDefault="00516E28" w:rsidP="005D46EF">
      <w:pPr>
        <w:spacing w:before="120"/>
        <w:rPr>
          <w:color w:val="auto"/>
          <w:sz w:val="22"/>
          <w:szCs w:val="22"/>
        </w:rPr>
      </w:pPr>
      <w:r w:rsidRPr="005D46EF">
        <w:rPr>
          <w:color w:val="auto"/>
          <w:sz w:val="22"/>
          <w:szCs w:val="22"/>
        </w:rPr>
        <w:t xml:space="preserve">If you hold or </w:t>
      </w:r>
      <w:r w:rsidR="005C142D" w:rsidRPr="005D46EF">
        <w:rPr>
          <w:color w:val="auto"/>
          <w:sz w:val="22"/>
          <w:szCs w:val="22"/>
        </w:rPr>
        <w:t>administer</w:t>
      </w:r>
      <w:r w:rsidRPr="005D46EF">
        <w:rPr>
          <w:color w:val="auto"/>
          <w:sz w:val="22"/>
          <w:szCs w:val="22"/>
        </w:rPr>
        <w:t xml:space="preserve"> controlled drugs (CD) then you are required to keep a </w:t>
      </w:r>
      <w:hyperlink r:id="rId189" w:history="1">
        <w:r w:rsidRPr="005D46EF">
          <w:rPr>
            <w:color w:val="auto"/>
            <w:sz w:val="22"/>
            <w:szCs w:val="22"/>
          </w:rPr>
          <w:t xml:space="preserve">controlled drug register </w:t>
        </w:r>
      </w:hyperlink>
      <w:r w:rsidRPr="005D46EF">
        <w:rPr>
          <w:color w:val="auto"/>
          <w:sz w:val="22"/>
          <w:szCs w:val="22"/>
        </w:rPr>
        <w:t xml:space="preserve">which documents the details of all transactions and includes a running balance of stock. </w:t>
      </w:r>
    </w:p>
    <w:p w14:paraId="6EC6CE28" w14:textId="77777777" w:rsidR="00516E28" w:rsidRPr="005D46EF" w:rsidRDefault="00516E28" w:rsidP="005D46EF">
      <w:pPr>
        <w:spacing w:before="120"/>
        <w:rPr>
          <w:color w:val="auto"/>
          <w:sz w:val="22"/>
          <w:szCs w:val="22"/>
        </w:rPr>
      </w:pPr>
      <w:r w:rsidRPr="005D46EF">
        <w:rPr>
          <w:color w:val="auto"/>
          <w:sz w:val="22"/>
          <w:szCs w:val="22"/>
        </w:rPr>
        <w:t xml:space="preserve">Accurate documentation enables your practice to track who receives controlled drugs and to prevent the theft or misappropriation of controlled drugs. Practices are encouraged to have a process for receiving, storing and disposal of controlled drugs returned by patients. </w:t>
      </w:r>
    </w:p>
    <w:p w14:paraId="5BDFCAC4" w14:textId="77777777" w:rsidR="00516E28" w:rsidRPr="005D46EF" w:rsidRDefault="00516E28" w:rsidP="005D46EF">
      <w:pPr>
        <w:spacing w:before="120"/>
        <w:rPr>
          <w:color w:val="auto"/>
          <w:sz w:val="22"/>
          <w:szCs w:val="22"/>
        </w:rPr>
      </w:pPr>
      <w:r w:rsidRPr="005D46EF">
        <w:rPr>
          <w:color w:val="auto"/>
          <w:sz w:val="22"/>
          <w:szCs w:val="22"/>
        </w:rPr>
        <w:t>If you maintain a controlled drug register, you must:</w:t>
      </w:r>
    </w:p>
    <w:p w14:paraId="3372B352" w14:textId="0394DD73" w:rsidR="00516E28" w:rsidRPr="0019144E" w:rsidRDefault="00D47A91" w:rsidP="00F2122C">
      <w:pPr>
        <w:pStyle w:val="Bullets"/>
        <w:ind w:left="567" w:hanging="567"/>
        <w:rPr>
          <w:rFonts w:ascii="Arial" w:hAnsi="Arial" w:cs="Arial"/>
        </w:rPr>
      </w:pPr>
      <w:r>
        <w:rPr>
          <w:rFonts w:ascii="Arial" w:hAnsi="Arial" w:cs="Arial"/>
        </w:rPr>
        <w:t>U</w:t>
      </w:r>
      <w:r w:rsidR="00516E28" w:rsidRPr="0019144E">
        <w:rPr>
          <w:rFonts w:ascii="Arial" w:hAnsi="Arial" w:cs="Arial"/>
        </w:rPr>
        <w:t xml:space="preserve">se an </w:t>
      </w:r>
      <w:hyperlink r:id="rId190" w:history="1">
        <w:r w:rsidR="00516E28" w:rsidRPr="0019144E">
          <w:rPr>
            <w:rFonts w:ascii="Arial" w:hAnsi="Arial" w:cs="Arial"/>
          </w:rPr>
          <w:t>approved bound volume</w:t>
        </w:r>
      </w:hyperlink>
    </w:p>
    <w:p w14:paraId="52561CC4" w14:textId="0100473E" w:rsidR="00516E28" w:rsidRPr="0019144E" w:rsidRDefault="00D47A91" w:rsidP="00F2122C">
      <w:pPr>
        <w:pStyle w:val="Bullets"/>
        <w:ind w:left="567" w:hanging="567"/>
        <w:rPr>
          <w:rFonts w:ascii="Arial" w:hAnsi="Arial" w:cs="Arial"/>
        </w:rPr>
      </w:pPr>
      <w:r>
        <w:rPr>
          <w:rFonts w:ascii="Arial" w:hAnsi="Arial" w:cs="Arial"/>
        </w:rPr>
        <w:t>K</w:t>
      </w:r>
      <w:r w:rsidR="00516E28" w:rsidRPr="0019144E">
        <w:rPr>
          <w:rFonts w:ascii="Arial" w:hAnsi="Arial" w:cs="Arial"/>
        </w:rPr>
        <w:t>eep that register or book in a neat and orderly manner in a secure place</w:t>
      </w:r>
    </w:p>
    <w:p w14:paraId="4C9A6C16" w14:textId="02B9CD6D" w:rsidR="00516E28" w:rsidRPr="0019144E" w:rsidRDefault="00D47A91" w:rsidP="00F2122C">
      <w:pPr>
        <w:pStyle w:val="Bullets"/>
        <w:ind w:left="567" w:hanging="567"/>
        <w:rPr>
          <w:rFonts w:ascii="Arial" w:hAnsi="Arial" w:cs="Arial"/>
        </w:rPr>
      </w:pPr>
      <w:r>
        <w:rPr>
          <w:rFonts w:ascii="Arial" w:hAnsi="Arial" w:cs="Arial"/>
        </w:rPr>
        <w:t>K</w:t>
      </w:r>
      <w:r w:rsidR="00516E28" w:rsidRPr="0019144E">
        <w:rPr>
          <w:rFonts w:ascii="Arial" w:hAnsi="Arial" w:cs="Arial"/>
        </w:rPr>
        <w:t>eep the register or book for a period of four years following the date of the last entry made in it</w:t>
      </w:r>
    </w:p>
    <w:p w14:paraId="5B315C83" w14:textId="77777777" w:rsidR="00516E28" w:rsidRPr="00D47A91" w:rsidRDefault="00516E28" w:rsidP="00D47A91">
      <w:pPr>
        <w:spacing w:before="120"/>
        <w:rPr>
          <w:color w:val="auto"/>
          <w:sz w:val="22"/>
          <w:szCs w:val="22"/>
        </w:rPr>
      </w:pPr>
      <w:r w:rsidRPr="00D47A91">
        <w:rPr>
          <w:color w:val="auto"/>
          <w:sz w:val="22"/>
          <w:szCs w:val="22"/>
        </w:rPr>
        <w:lastRenderedPageBreak/>
        <w:t>All movements of a controlled drug, including those in the doctor’s clinical and/or emergency bag, must be recorded in the controlled drug register, legibly and indelibly.</w:t>
      </w:r>
    </w:p>
    <w:p w14:paraId="0FB6E33C" w14:textId="77777777" w:rsidR="00516E28" w:rsidRPr="00D47A91" w:rsidRDefault="00516E28" w:rsidP="00D47A91">
      <w:pPr>
        <w:spacing w:before="120"/>
        <w:rPr>
          <w:color w:val="auto"/>
          <w:sz w:val="22"/>
          <w:szCs w:val="22"/>
        </w:rPr>
      </w:pPr>
      <w:r w:rsidRPr="00D47A91">
        <w:rPr>
          <w:color w:val="auto"/>
          <w:sz w:val="22"/>
          <w:szCs w:val="22"/>
        </w:rPr>
        <w:t>The appropriate entries relating to any transaction regarding controlled drugs should be made in the register not later than the next ordinary business day following the day on which that transaction took place.</w:t>
      </w:r>
    </w:p>
    <w:p w14:paraId="76383FDF" w14:textId="77777777" w:rsidR="00516E28" w:rsidRPr="00D47A91" w:rsidRDefault="00516E28" w:rsidP="00D47A91">
      <w:pPr>
        <w:spacing w:before="120"/>
        <w:rPr>
          <w:color w:val="auto"/>
          <w:sz w:val="22"/>
          <w:szCs w:val="22"/>
        </w:rPr>
      </w:pPr>
      <w:r w:rsidRPr="00D47A91">
        <w:rPr>
          <w:color w:val="auto"/>
          <w:sz w:val="22"/>
          <w:szCs w:val="22"/>
        </w:rPr>
        <w:t>Any mistake in any entry may be corrected by a marginal note or footnote giving the correct particulars and containing, as part of the note, the date on which the note is written (and initials of the person making the entry).</w:t>
      </w:r>
    </w:p>
    <w:p w14:paraId="66F74E5D" w14:textId="77777777" w:rsidR="00516E28" w:rsidRPr="00D47A91" w:rsidRDefault="00516E28" w:rsidP="00D47A91">
      <w:pPr>
        <w:spacing w:before="120"/>
        <w:rPr>
          <w:color w:val="auto"/>
          <w:sz w:val="22"/>
          <w:szCs w:val="22"/>
        </w:rPr>
      </w:pPr>
      <w:r w:rsidRPr="00D47A91">
        <w:rPr>
          <w:color w:val="auto"/>
          <w:sz w:val="22"/>
          <w:szCs w:val="22"/>
        </w:rPr>
        <w:t>Your practice should have a process for the identification and destruction/disposal of expired controlled drugs and the relevant actions must be documented in the controlled drug register.</w:t>
      </w:r>
    </w:p>
    <w:p w14:paraId="38862578" w14:textId="77777777" w:rsidR="00516E28" w:rsidRPr="00185537" w:rsidRDefault="00516E28" w:rsidP="00185537">
      <w:pPr>
        <w:spacing w:before="120"/>
        <w:rPr>
          <w:color w:val="auto"/>
          <w:sz w:val="22"/>
          <w:szCs w:val="22"/>
        </w:rPr>
      </w:pPr>
      <w:r w:rsidRPr="00185537">
        <w:rPr>
          <w:color w:val="auto"/>
          <w:sz w:val="22"/>
          <w:szCs w:val="22"/>
        </w:rPr>
        <w:t xml:space="preserve">The </w:t>
      </w:r>
      <w:hyperlink r:id="rId191" w:anchor="DLM56105" w:history="1">
        <w:r w:rsidRPr="00185537">
          <w:rPr>
            <w:color w:val="auto"/>
            <w:sz w:val="22"/>
            <w:szCs w:val="22"/>
          </w:rPr>
          <w:t>following details are required</w:t>
        </w:r>
      </w:hyperlink>
      <w:r w:rsidRPr="00185537">
        <w:rPr>
          <w:color w:val="auto"/>
          <w:sz w:val="22"/>
          <w:szCs w:val="22"/>
        </w:rPr>
        <w:t xml:space="preserve"> for each transaction in a controlled drug register:</w:t>
      </w:r>
    </w:p>
    <w:p w14:paraId="0D5844B6" w14:textId="2D0A6F0B" w:rsidR="00516E28" w:rsidRPr="00DE04AC" w:rsidRDefault="00516E28" w:rsidP="00F2122C">
      <w:pPr>
        <w:pStyle w:val="List1"/>
        <w:numPr>
          <w:ilvl w:val="0"/>
          <w:numId w:val="34"/>
        </w:numPr>
        <w:ind w:left="567" w:hanging="567"/>
        <w:rPr>
          <w:rFonts w:ascii="Arial" w:hAnsi="Arial" w:cs="Arial"/>
        </w:rPr>
      </w:pPr>
      <w:r w:rsidRPr="00DE04AC">
        <w:rPr>
          <w:rFonts w:ascii="Arial" w:hAnsi="Arial" w:cs="Arial"/>
        </w:rPr>
        <w:t>Date of transaction (</w:t>
      </w:r>
      <w:r w:rsidR="002D3694" w:rsidRPr="00DE04AC">
        <w:rPr>
          <w:rFonts w:ascii="Arial" w:hAnsi="Arial" w:cs="Arial"/>
        </w:rPr>
        <w:t>e.g.</w:t>
      </w:r>
      <w:r w:rsidRPr="00DE04AC">
        <w:rPr>
          <w:rFonts w:ascii="Arial" w:hAnsi="Arial" w:cs="Arial"/>
        </w:rPr>
        <w:t xml:space="preserve"> receipt, administration, </w:t>
      </w:r>
      <w:r w:rsidR="007B2D37" w:rsidRPr="00DE04AC">
        <w:rPr>
          <w:rFonts w:ascii="Arial" w:hAnsi="Arial" w:cs="Arial"/>
        </w:rPr>
        <w:t>stock take</w:t>
      </w:r>
      <w:r w:rsidRPr="00DE04AC">
        <w:rPr>
          <w:rFonts w:ascii="Arial" w:hAnsi="Arial" w:cs="Arial"/>
        </w:rPr>
        <w:t xml:space="preserve"> or destruction of the medicine)</w:t>
      </w:r>
    </w:p>
    <w:p w14:paraId="0E50C4F9" w14:textId="0452D0ED"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Name and address of person from whom received; or name of patient; or name and address of person supplied; or form from which or into which the CD was made; or declaration ‘Physical stocktaking’</w:t>
      </w:r>
    </w:p>
    <w:p w14:paraId="4BA1498A" w14:textId="7825C9B5"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Prescription number; or order number; or time of administration or destruction of medicine</w:t>
      </w:r>
    </w:p>
    <w:p w14:paraId="058F1F1C" w14:textId="5CB81063"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Number In</w:t>
      </w:r>
    </w:p>
    <w:p w14:paraId="5EA91ED5" w14:textId="4D5B26EC"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Number Out</w:t>
      </w:r>
    </w:p>
    <w:p w14:paraId="1910AAEC" w14:textId="3CF11289"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Balance</w:t>
      </w:r>
    </w:p>
    <w:p w14:paraId="2F79D589" w14:textId="2D720361"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Name of authority/prescriber</w:t>
      </w:r>
    </w:p>
    <w:p w14:paraId="7001AC47" w14:textId="09F8628E"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Received, issued, dispensed, or administered by</w:t>
      </w:r>
    </w:p>
    <w:p w14:paraId="0B3B12E3" w14:textId="77777777" w:rsidR="00516E28" w:rsidRPr="00E44FE9" w:rsidRDefault="00516E28" w:rsidP="00F2122C">
      <w:pPr>
        <w:pStyle w:val="List1"/>
        <w:numPr>
          <w:ilvl w:val="0"/>
          <w:numId w:val="34"/>
        </w:numPr>
        <w:ind w:left="567" w:hanging="567"/>
        <w:rPr>
          <w:rFonts w:ascii="Arial" w:hAnsi="Arial" w:cs="Arial"/>
        </w:rPr>
      </w:pPr>
      <w:r w:rsidRPr="00E44FE9">
        <w:rPr>
          <w:rFonts w:ascii="Arial" w:hAnsi="Arial" w:cs="Arial"/>
        </w:rPr>
        <w:t>Initials/signature of person making entry or checking balance: preferably two signatures. It is recommended that controlled medicine administration be witnessed wherever possible – this means seeing the medicines being received, issued, dispensed, administered or destroyed, and signing as a witness.</w:t>
      </w:r>
    </w:p>
    <w:p w14:paraId="45FE8C39" w14:textId="358C738E" w:rsidR="00516E28" w:rsidRPr="006923AC" w:rsidRDefault="00516E28" w:rsidP="00D81967">
      <w:pPr>
        <w:pStyle w:val="HHLBodyText"/>
        <w:spacing w:before="240"/>
        <w:rPr>
          <w:i/>
        </w:rPr>
      </w:pPr>
      <w:r w:rsidRPr="006923AC">
        <w:rPr>
          <w:i/>
        </w:rPr>
        <w:t>Monitoring controlled drugs in an emergency bag</w:t>
      </w:r>
    </w:p>
    <w:p w14:paraId="5156403F" w14:textId="265B07A3" w:rsidR="00516E28" w:rsidRPr="00277DFC" w:rsidRDefault="00516E28" w:rsidP="00516E28">
      <w:pPr>
        <w:rPr>
          <w:color w:val="auto"/>
          <w:sz w:val="22"/>
          <w:szCs w:val="22"/>
        </w:rPr>
      </w:pPr>
      <w:r w:rsidRPr="00277DFC">
        <w:rPr>
          <w:color w:val="auto"/>
          <w:sz w:val="22"/>
          <w:szCs w:val="22"/>
        </w:rPr>
        <w:t>A small amount of controlled oral or injectable stock drugs (</w:t>
      </w:r>
      <w:r w:rsidR="002D3694" w:rsidRPr="00277DFC">
        <w:rPr>
          <w:color w:val="auto"/>
          <w:sz w:val="22"/>
          <w:szCs w:val="22"/>
        </w:rPr>
        <w:t>e.g.</w:t>
      </w:r>
      <w:r w:rsidRPr="00277DFC">
        <w:rPr>
          <w:color w:val="auto"/>
          <w:sz w:val="22"/>
          <w:szCs w:val="22"/>
        </w:rPr>
        <w:t xml:space="preserve"> morphine) may be kept on hand in the clinical and/or emergency bag for </w:t>
      </w:r>
      <w:r w:rsidRPr="00277DFC">
        <w:rPr>
          <w:i/>
          <w:iCs/>
          <w:color w:val="auto"/>
          <w:sz w:val="22"/>
          <w:szCs w:val="22"/>
        </w:rPr>
        <w:t>pro re nata</w:t>
      </w:r>
      <w:r w:rsidRPr="00277DFC">
        <w:rPr>
          <w:color w:val="auto"/>
          <w:sz w:val="22"/>
          <w:szCs w:val="22"/>
        </w:rPr>
        <w:t xml:space="preserve"> (PRN)/as required use.</w:t>
      </w:r>
    </w:p>
    <w:p w14:paraId="74EB8D0C" w14:textId="1231CD9C" w:rsidR="00516E28" w:rsidRPr="00277DFC" w:rsidRDefault="00516E28" w:rsidP="00516E28">
      <w:pPr>
        <w:rPr>
          <w:color w:val="auto"/>
          <w:sz w:val="22"/>
          <w:szCs w:val="22"/>
        </w:rPr>
      </w:pPr>
      <w:r w:rsidRPr="00277DFC">
        <w:rPr>
          <w:color w:val="auto"/>
          <w:sz w:val="22"/>
          <w:szCs w:val="22"/>
        </w:rPr>
        <w:t>Any medication stock of this nature should have concise records and is to be managed as usual for safety, transparency and auditing purposes. There should also be a system for checking the expiry dates of all drugs in clinical and/or emergency bags</w:t>
      </w:r>
      <w:r w:rsidR="00CA1489">
        <w:rPr>
          <w:color w:val="auto"/>
          <w:sz w:val="22"/>
          <w:szCs w:val="22"/>
        </w:rPr>
        <w:t>.</w:t>
      </w:r>
      <w:r w:rsidRPr="00277DFC">
        <w:rPr>
          <w:color w:val="auto"/>
          <w:sz w:val="22"/>
          <w:szCs w:val="22"/>
        </w:rPr>
        <w:t xml:space="preserve"> </w:t>
      </w:r>
    </w:p>
    <w:p w14:paraId="0B8EEF3D" w14:textId="77777777" w:rsidR="00516E28" w:rsidRPr="00277DFC" w:rsidRDefault="00516E28" w:rsidP="00516E28">
      <w:pPr>
        <w:rPr>
          <w:color w:val="auto"/>
          <w:sz w:val="22"/>
          <w:szCs w:val="22"/>
        </w:rPr>
      </w:pPr>
      <w:r w:rsidRPr="00277DFC">
        <w:rPr>
          <w:color w:val="auto"/>
          <w:sz w:val="22"/>
          <w:szCs w:val="22"/>
        </w:rPr>
        <w:t>A clinical/emergency bag containing controlled drugs is acceptable provided it is in the personal possession of the clinician concerned.</w:t>
      </w:r>
    </w:p>
    <w:p w14:paraId="057C9D9A" w14:textId="77777777" w:rsidR="00516E28" w:rsidRPr="00277DFC" w:rsidRDefault="00516E28" w:rsidP="00516E28">
      <w:pPr>
        <w:rPr>
          <w:color w:val="auto"/>
          <w:sz w:val="22"/>
          <w:szCs w:val="22"/>
        </w:rPr>
      </w:pPr>
      <w:r w:rsidRPr="00277DFC">
        <w:rPr>
          <w:color w:val="auto"/>
          <w:sz w:val="22"/>
          <w:szCs w:val="22"/>
        </w:rPr>
        <w:t>All health care professionals in legal possession of controlled drugs have a professional duty of care to take all reasonable steps in maintaining safe custody of controlled drugs. When not in use, the bag must be kept out of vision to the public in a locked cupboard or vehicle.</w:t>
      </w:r>
    </w:p>
    <w:p w14:paraId="18B6D764" w14:textId="77777777" w:rsidR="00516E28" w:rsidRPr="00DD24D5" w:rsidRDefault="00516E28" w:rsidP="00516E28">
      <w:r w:rsidRPr="00277DFC">
        <w:rPr>
          <w:color w:val="auto"/>
          <w:sz w:val="22"/>
          <w:szCs w:val="22"/>
        </w:rPr>
        <w:t>If a clinician wishes to carry controlled drugs in his/her bag, the following should be considered:</w:t>
      </w:r>
    </w:p>
    <w:p w14:paraId="3971E4E1" w14:textId="77777777" w:rsidR="00516E28" w:rsidRPr="00277DFC" w:rsidRDefault="00516E28" w:rsidP="00F2122C">
      <w:pPr>
        <w:pStyle w:val="Bullets"/>
        <w:ind w:left="567" w:hanging="567"/>
        <w:rPr>
          <w:rFonts w:ascii="Arial" w:hAnsi="Arial" w:cs="Arial"/>
        </w:rPr>
      </w:pPr>
      <w:r w:rsidRPr="00277DFC">
        <w:rPr>
          <w:rFonts w:ascii="Arial" w:hAnsi="Arial" w:cs="Arial"/>
        </w:rPr>
        <w:t>Another staff member should witness the stocking the bag from the controlled drug stock and record an entry in the controlled drug register.</w:t>
      </w:r>
    </w:p>
    <w:p w14:paraId="61666580" w14:textId="2640C94C" w:rsidR="00516E28" w:rsidRPr="00277DFC" w:rsidRDefault="00516E28" w:rsidP="00F2122C">
      <w:pPr>
        <w:pStyle w:val="Bullets"/>
        <w:ind w:left="567" w:hanging="567"/>
        <w:rPr>
          <w:rFonts w:ascii="Arial" w:hAnsi="Arial" w:cs="Arial"/>
        </w:rPr>
      </w:pPr>
      <w:r w:rsidRPr="00277DFC">
        <w:rPr>
          <w:rFonts w:ascii="Arial" w:hAnsi="Arial" w:cs="Arial"/>
        </w:rPr>
        <w:t xml:space="preserve">The controlled drugs should be stored in a lockable receptacle, which can only be opened by the person to whom the regulation applies. A digital combination lock is a convenient solution. </w:t>
      </w:r>
    </w:p>
    <w:p w14:paraId="3050D091" w14:textId="77777777" w:rsidR="00516E28" w:rsidRPr="00277DFC" w:rsidRDefault="00516E28" w:rsidP="00F2122C">
      <w:pPr>
        <w:pStyle w:val="Bullets"/>
        <w:ind w:left="567" w:hanging="567"/>
        <w:rPr>
          <w:rFonts w:ascii="Arial" w:hAnsi="Arial" w:cs="Arial"/>
        </w:rPr>
      </w:pPr>
      <w:r w:rsidRPr="00277DFC">
        <w:rPr>
          <w:rFonts w:ascii="Arial" w:hAnsi="Arial" w:cs="Arial"/>
        </w:rPr>
        <w:t>Each clinician must keep a record in the register for the controlled drugs carried in their bags. The clinician is responsible for those drugs.</w:t>
      </w:r>
    </w:p>
    <w:p w14:paraId="275E2830" w14:textId="1E771D10" w:rsidR="00516E28" w:rsidRPr="00277DFC" w:rsidRDefault="00516E28" w:rsidP="00F2122C">
      <w:pPr>
        <w:pStyle w:val="Bullets"/>
        <w:ind w:left="567" w:hanging="567"/>
        <w:rPr>
          <w:rFonts w:ascii="Arial" w:hAnsi="Arial" w:cs="Arial"/>
        </w:rPr>
      </w:pPr>
      <w:r w:rsidRPr="00277DFC">
        <w:rPr>
          <w:rFonts w:ascii="Arial" w:hAnsi="Arial" w:cs="Arial"/>
        </w:rPr>
        <w:t xml:space="preserve">Administration of a controlled drug to a patient should be recorded in the controlled drug register and in the </w:t>
      </w:r>
      <w:r w:rsidR="006D4BE2">
        <w:rPr>
          <w:rFonts w:ascii="Arial" w:hAnsi="Arial" w:cs="Arial"/>
        </w:rPr>
        <w:t>PMS</w:t>
      </w:r>
      <w:r w:rsidRPr="00277DFC">
        <w:rPr>
          <w:rFonts w:ascii="Arial" w:hAnsi="Arial" w:cs="Arial"/>
        </w:rPr>
        <w:t>.</w:t>
      </w:r>
    </w:p>
    <w:p w14:paraId="0282AC6E" w14:textId="23EAAE0F" w:rsidR="00516E28" w:rsidRPr="00277DFC" w:rsidRDefault="00516E28" w:rsidP="00F2122C">
      <w:pPr>
        <w:pStyle w:val="Bullets"/>
        <w:ind w:left="567" w:hanging="567"/>
        <w:rPr>
          <w:rFonts w:ascii="Arial" w:hAnsi="Arial" w:cs="Arial"/>
        </w:rPr>
      </w:pPr>
      <w:r w:rsidRPr="00277DFC">
        <w:rPr>
          <w:rFonts w:ascii="Arial" w:hAnsi="Arial" w:cs="Arial"/>
        </w:rPr>
        <w:t>If a controlled drug has expired, the clinician should return it to the practice stock awaiting destruction. This should be recorded in the register. If there is no practice stock, then the expired controlled drug needs to be destroyed directly from the bag and witnessed by an authorised person. A record should be made.</w:t>
      </w:r>
    </w:p>
    <w:p w14:paraId="6A1D9A5A" w14:textId="77777777" w:rsidR="00516E28" w:rsidRPr="006923AC" w:rsidRDefault="00516E28" w:rsidP="006923AC">
      <w:pPr>
        <w:pStyle w:val="HHLBodyText"/>
        <w:rPr>
          <w:i/>
        </w:rPr>
      </w:pPr>
      <w:r w:rsidRPr="006923AC">
        <w:rPr>
          <w:i/>
        </w:rPr>
        <w:lastRenderedPageBreak/>
        <w:t>Stocktaking</w:t>
      </w:r>
    </w:p>
    <w:p w14:paraId="0CB756DA" w14:textId="59D41856" w:rsidR="00516E28" w:rsidRPr="001A62C4" w:rsidRDefault="00516E28" w:rsidP="00516E28">
      <w:pPr>
        <w:rPr>
          <w:color w:val="auto"/>
          <w:sz w:val="22"/>
          <w:szCs w:val="22"/>
        </w:rPr>
      </w:pPr>
      <w:r w:rsidRPr="001A62C4">
        <w:rPr>
          <w:color w:val="auto"/>
          <w:sz w:val="22"/>
          <w:szCs w:val="22"/>
        </w:rPr>
        <w:t>Balances shall be undertaken</w:t>
      </w:r>
      <w:r w:rsidR="006D4BE2">
        <w:rPr>
          <w:color w:val="auto"/>
          <w:sz w:val="22"/>
          <w:szCs w:val="22"/>
        </w:rPr>
        <w:t xml:space="preserve"> monthly</w:t>
      </w:r>
      <w:r w:rsidRPr="001A62C4">
        <w:rPr>
          <w:color w:val="auto"/>
          <w:sz w:val="22"/>
          <w:szCs w:val="22"/>
        </w:rPr>
        <w:t xml:space="preserve"> and at the time of obtaining new stock. The stock record, quantity stock account, and explanation of variations shall be entered on the page of the controlled drug register relating to the controlled drug or form of controlled drug to which the information refers.</w:t>
      </w:r>
    </w:p>
    <w:p w14:paraId="5A3F579B" w14:textId="77777777" w:rsidR="00516E28" w:rsidRDefault="00A826EF" w:rsidP="00516E28">
      <w:pPr>
        <w:spacing w:before="240" w:after="120"/>
        <w:rPr>
          <w:b/>
          <w:color w:val="auto"/>
          <w:sz w:val="22"/>
          <w:szCs w:val="22"/>
        </w:rPr>
      </w:pPr>
      <w:r w:rsidRPr="00A81435">
        <w:rPr>
          <w:b/>
          <w:color w:val="auto"/>
          <w:sz w:val="22"/>
          <w:szCs w:val="22"/>
        </w:rPr>
        <w:t>Resources</w:t>
      </w:r>
    </w:p>
    <w:p w14:paraId="1AED8C9E" w14:textId="77777777" w:rsidR="00516E28" w:rsidRPr="001747DD" w:rsidRDefault="00CF1416" w:rsidP="0024030C">
      <w:pPr>
        <w:pStyle w:val="Resourcelist"/>
        <w:spacing w:after="120"/>
        <w:rPr>
          <w:rStyle w:val="Hyperlink"/>
          <w:rFonts w:ascii="Arial" w:hAnsi="Arial" w:cs="Arial"/>
          <w:color w:val="0000FF"/>
        </w:rPr>
      </w:pPr>
      <w:hyperlink r:id="rId192" w:history="1">
        <w:r w:rsidR="00516E28" w:rsidRPr="001747DD">
          <w:rPr>
            <w:rStyle w:val="Hyperlink"/>
            <w:rFonts w:ascii="Arial" w:hAnsi="Arial" w:cs="Arial"/>
            <w:color w:val="0000FF"/>
          </w:rPr>
          <w:t>Ministry of Health: Controlled drugs</w:t>
        </w:r>
      </w:hyperlink>
    </w:p>
    <w:p w14:paraId="26384B43" w14:textId="12782EC0" w:rsidR="00516E28" w:rsidRPr="001747DD" w:rsidRDefault="00CF1416" w:rsidP="0024030C">
      <w:pPr>
        <w:pStyle w:val="Resourcelist"/>
        <w:spacing w:after="120"/>
        <w:rPr>
          <w:rStyle w:val="Hyperlink"/>
          <w:rFonts w:ascii="Arial" w:hAnsi="Arial" w:cs="Arial"/>
          <w:color w:val="0000FF"/>
        </w:rPr>
      </w:pPr>
      <w:hyperlink r:id="rId193" w:history="1">
        <w:r w:rsidR="00407354" w:rsidRPr="001747DD">
          <w:rPr>
            <w:rStyle w:val="Hyperlink"/>
            <w:rFonts w:ascii="Arial" w:hAnsi="Arial" w:cs="Arial"/>
            <w:color w:val="0000FF"/>
          </w:rPr>
          <w:t xml:space="preserve">Ministry of Health: </w:t>
        </w:r>
        <w:r w:rsidR="00516E28" w:rsidRPr="001747DD">
          <w:rPr>
            <w:rStyle w:val="Hyperlink"/>
            <w:rFonts w:ascii="Arial" w:hAnsi="Arial" w:cs="Arial"/>
            <w:color w:val="0000FF"/>
          </w:rPr>
          <w:t>Frequently asked questions: Controlled drugs prescribing</w:t>
        </w:r>
      </w:hyperlink>
    </w:p>
    <w:p w14:paraId="5CDD23C1" w14:textId="77777777" w:rsidR="00516E28" w:rsidRPr="001747DD" w:rsidRDefault="00CF1416" w:rsidP="0024030C">
      <w:pPr>
        <w:pStyle w:val="Resourcelist"/>
        <w:spacing w:after="120"/>
        <w:rPr>
          <w:rStyle w:val="Hyperlink"/>
          <w:rFonts w:ascii="Arial" w:hAnsi="Arial" w:cs="Arial"/>
          <w:color w:val="0000FF"/>
        </w:rPr>
      </w:pPr>
      <w:hyperlink r:id="rId194" w:history="1">
        <w:r w:rsidR="00516E28" w:rsidRPr="001747DD">
          <w:rPr>
            <w:rStyle w:val="Hyperlink"/>
            <w:rFonts w:ascii="Arial" w:hAnsi="Arial" w:cs="Arial"/>
            <w:color w:val="0000FF"/>
          </w:rPr>
          <w:t>MCNZ: Good prescribing practice</w:t>
        </w:r>
      </w:hyperlink>
    </w:p>
    <w:p w14:paraId="795DA86B" w14:textId="23733344" w:rsidR="00516E28" w:rsidRPr="001747DD" w:rsidRDefault="00407354" w:rsidP="0024030C">
      <w:pPr>
        <w:pStyle w:val="Resourcelist"/>
        <w:spacing w:after="120"/>
        <w:rPr>
          <w:rStyle w:val="Hyperlink"/>
          <w:rFonts w:ascii="Arial" w:hAnsi="Arial" w:cs="Arial"/>
          <w:color w:val="0000FF"/>
        </w:rPr>
      </w:pPr>
      <w:r w:rsidRPr="001747DD">
        <w:rPr>
          <w:rStyle w:val="Hyperlink"/>
          <w:rFonts w:ascii="Arial" w:hAnsi="Arial" w:cs="Arial"/>
          <w:color w:val="0000FF"/>
        </w:rPr>
        <w:fldChar w:fldCharType="begin"/>
      </w:r>
      <w:r w:rsidRPr="001747DD">
        <w:rPr>
          <w:rStyle w:val="Hyperlink"/>
          <w:rFonts w:ascii="Arial" w:hAnsi="Arial" w:cs="Arial"/>
          <w:color w:val="0000FF"/>
        </w:rPr>
        <w:instrText xml:space="preserve"> HYPERLINK "https://www.nzno.org.nz/resources/medicines_-_guidelines_and_information" </w:instrText>
      </w:r>
      <w:r w:rsidRPr="001747DD">
        <w:rPr>
          <w:rStyle w:val="Hyperlink"/>
          <w:rFonts w:ascii="Arial" w:hAnsi="Arial" w:cs="Arial"/>
          <w:color w:val="0000FF"/>
        </w:rPr>
        <w:fldChar w:fldCharType="separate"/>
      </w:r>
      <w:r w:rsidR="00516E28" w:rsidRPr="001747DD">
        <w:rPr>
          <w:rStyle w:val="Hyperlink"/>
          <w:rFonts w:ascii="Arial" w:hAnsi="Arial" w:cs="Arial"/>
          <w:color w:val="0000FF"/>
        </w:rPr>
        <w:t xml:space="preserve">NZNO: </w:t>
      </w:r>
      <w:r w:rsidRPr="001747DD">
        <w:rPr>
          <w:rStyle w:val="Hyperlink"/>
          <w:rFonts w:ascii="Arial" w:hAnsi="Arial" w:cs="Arial"/>
          <w:color w:val="0000FF"/>
        </w:rPr>
        <w:t xml:space="preserve">Medicines - </w:t>
      </w:r>
      <w:r w:rsidR="00516E28" w:rsidRPr="001747DD">
        <w:rPr>
          <w:rStyle w:val="Hyperlink"/>
          <w:rFonts w:ascii="Arial" w:hAnsi="Arial" w:cs="Arial"/>
          <w:color w:val="0000FF"/>
        </w:rPr>
        <w:t xml:space="preserve">Guidelines </w:t>
      </w:r>
      <w:r w:rsidRPr="001747DD">
        <w:rPr>
          <w:rStyle w:val="Hyperlink"/>
          <w:rFonts w:ascii="Arial" w:hAnsi="Arial" w:cs="Arial"/>
          <w:color w:val="0000FF"/>
        </w:rPr>
        <w:t>and Information</w:t>
      </w:r>
    </w:p>
    <w:p w14:paraId="731DBCC1" w14:textId="2CEDACF2" w:rsidR="00516E28" w:rsidRPr="001747DD" w:rsidRDefault="00407354" w:rsidP="0024030C">
      <w:pPr>
        <w:pStyle w:val="Resourcelist"/>
        <w:spacing w:after="120"/>
        <w:rPr>
          <w:rStyle w:val="Hyperlink"/>
          <w:rFonts w:ascii="Arial" w:hAnsi="Arial" w:cs="Arial"/>
          <w:color w:val="0000FF"/>
        </w:rPr>
      </w:pPr>
      <w:r w:rsidRPr="001747DD">
        <w:rPr>
          <w:rStyle w:val="Hyperlink"/>
          <w:rFonts w:ascii="Arial" w:hAnsi="Arial" w:cs="Arial"/>
          <w:color w:val="0000FF"/>
        </w:rPr>
        <w:fldChar w:fldCharType="end"/>
      </w:r>
      <w:hyperlink r:id="rId195" w:history="1"/>
      <w:hyperlink r:id="rId196" w:history="1">
        <w:r w:rsidR="00516E28" w:rsidRPr="001747DD">
          <w:rPr>
            <w:rStyle w:val="Hyperlink"/>
            <w:rFonts w:ascii="Arial" w:hAnsi="Arial" w:cs="Arial"/>
            <w:color w:val="0000FF"/>
          </w:rPr>
          <w:t>Medical Protection: Risk alert: controlled drugs</w:t>
        </w:r>
      </w:hyperlink>
    </w:p>
    <w:p w14:paraId="276E2FB4" w14:textId="77777777" w:rsidR="00E73886" w:rsidRDefault="00E73886">
      <w:pPr>
        <w:spacing w:after="0"/>
        <w:rPr>
          <w:b/>
          <w:color w:val="EE7624"/>
          <w:sz w:val="28"/>
        </w:rPr>
      </w:pPr>
    </w:p>
    <w:p w14:paraId="3BFF11B1" w14:textId="77777777" w:rsidR="00E73886" w:rsidRDefault="00E73886">
      <w:pPr>
        <w:spacing w:after="0"/>
        <w:rPr>
          <w:b/>
          <w:color w:val="EE7624"/>
          <w:sz w:val="28"/>
        </w:rPr>
      </w:pPr>
      <w:r>
        <w:rPr>
          <w:b/>
          <w:color w:val="EE7624"/>
          <w:sz w:val="28"/>
        </w:rPr>
        <w:br w:type="page"/>
      </w:r>
    </w:p>
    <w:p w14:paraId="686EE6E6" w14:textId="77777777" w:rsidR="00E73886" w:rsidRDefault="00E73886">
      <w:pPr>
        <w:spacing w:after="0"/>
        <w:rPr>
          <w:b/>
          <w:color w:val="EE7624"/>
          <w:sz w:val="28"/>
        </w:rPr>
      </w:pPr>
    </w:p>
    <w:p w14:paraId="112BEF88" w14:textId="77777777" w:rsidR="00DE3B66" w:rsidRDefault="00DE3B66" w:rsidP="00553D5D">
      <w:pPr>
        <w:pStyle w:val="Heading1"/>
      </w:pPr>
    </w:p>
    <w:p w14:paraId="1E4A162D" w14:textId="77777777" w:rsidR="00DE3B66" w:rsidRDefault="00DE3B66" w:rsidP="00553D5D">
      <w:pPr>
        <w:pStyle w:val="Heading1"/>
      </w:pPr>
    </w:p>
    <w:p w14:paraId="3BCCFC66" w14:textId="77777777" w:rsidR="00DE3B66" w:rsidRDefault="00DE3B66" w:rsidP="00553D5D">
      <w:pPr>
        <w:pStyle w:val="Heading1"/>
      </w:pPr>
    </w:p>
    <w:p w14:paraId="6D748FC0" w14:textId="77777777" w:rsidR="00DE3B66" w:rsidRDefault="00DE3B66" w:rsidP="00553D5D">
      <w:pPr>
        <w:pStyle w:val="Heading1"/>
      </w:pPr>
    </w:p>
    <w:p w14:paraId="5BB61A2F" w14:textId="77777777" w:rsidR="00DE3B66" w:rsidRDefault="00DE3B66" w:rsidP="00553D5D">
      <w:pPr>
        <w:pStyle w:val="Heading1"/>
      </w:pPr>
    </w:p>
    <w:p w14:paraId="3DBEC892" w14:textId="77777777" w:rsidR="00DE3B66" w:rsidRDefault="00DE3B66" w:rsidP="00553D5D">
      <w:pPr>
        <w:pStyle w:val="Heading1"/>
      </w:pPr>
    </w:p>
    <w:p w14:paraId="283A81AD" w14:textId="77777777" w:rsidR="00DE3B66" w:rsidRDefault="00DE3B66" w:rsidP="00553D5D">
      <w:pPr>
        <w:pStyle w:val="Heading1"/>
      </w:pPr>
    </w:p>
    <w:p w14:paraId="3AC5A28C" w14:textId="77777777" w:rsidR="00DE3B66" w:rsidRDefault="00DE3B66" w:rsidP="00553D5D">
      <w:pPr>
        <w:pStyle w:val="Heading1"/>
      </w:pPr>
    </w:p>
    <w:p w14:paraId="68569332" w14:textId="77777777" w:rsidR="00DE3B66" w:rsidRDefault="00DE3B66" w:rsidP="00553D5D">
      <w:pPr>
        <w:pStyle w:val="Heading1"/>
      </w:pPr>
    </w:p>
    <w:p w14:paraId="1D0A3AF0" w14:textId="4AF9B30B" w:rsidR="00553D5D" w:rsidRDefault="00553D5D" w:rsidP="00553D5D">
      <w:pPr>
        <w:pStyle w:val="Heading1"/>
        <w:rPr>
          <w:b w:val="0"/>
        </w:rPr>
      </w:pPr>
      <w:bookmarkStart w:id="71" w:name="_Toc6998688"/>
      <w:r w:rsidRPr="000C6773">
        <w:t>Section</w:t>
      </w:r>
      <w:r w:rsidRPr="0055408F">
        <w:t xml:space="preserve"> </w:t>
      </w:r>
      <w:r>
        <w:t xml:space="preserve">11: </w:t>
      </w:r>
      <w:r w:rsidRPr="00553D5D">
        <w:rPr>
          <w:b w:val="0"/>
        </w:rPr>
        <w:t>Tikanga pokenga</w:t>
      </w:r>
      <w:r w:rsidRPr="00E6494D">
        <w:rPr>
          <w:b w:val="0"/>
        </w:rPr>
        <w:t xml:space="preserve"> |</w:t>
      </w:r>
      <w:r w:rsidRPr="0055408F">
        <w:rPr>
          <w:b w:val="0"/>
        </w:rPr>
        <w:t xml:space="preserve"> </w:t>
      </w:r>
      <w:r>
        <w:rPr>
          <w:b w:val="0"/>
        </w:rPr>
        <w:t>Infection prevention and control</w:t>
      </w:r>
      <w:bookmarkEnd w:id="71"/>
    </w:p>
    <w:p w14:paraId="60E02AA5" w14:textId="77777777" w:rsidR="00553D5D" w:rsidRDefault="00553D5D">
      <w:pPr>
        <w:spacing w:after="0"/>
        <w:rPr>
          <w:color w:val="EE7624"/>
          <w:sz w:val="56"/>
          <w:szCs w:val="56"/>
        </w:rPr>
      </w:pPr>
      <w:r>
        <w:rPr>
          <w:b/>
        </w:rPr>
        <w:br w:type="page"/>
      </w:r>
    </w:p>
    <w:p w14:paraId="3B7DB836" w14:textId="0AB21ED4" w:rsidR="004A2397" w:rsidRPr="00C55F31" w:rsidRDefault="00A96555" w:rsidP="00F2122C">
      <w:pPr>
        <w:pStyle w:val="HHLSubHeading"/>
        <w:numPr>
          <w:ilvl w:val="0"/>
          <w:numId w:val="0"/>
        </w:numPr>
        <w:tabs>
          <w:tab w:val="left" w:pos="1560"/>
        </w:tabs>
      </w:pPr>
      <w:bookmarkStart w:id="72" w:name="_Toc6998689"/>
      <w:r w:rsidRPr="00C55F31">
        <w:lastRenderedPageBreak/>
        <w:t>Indicator 2</w:t>
      </w:r>
      <w:r w:rsidR="00C447AF">
        <w:t>6</w:t>
      </w:r>
      <w:r w:rsidRPr="00C55F31">
        <w:t>.</w:t>
      </w:r>
      <w:r w:rsidR="00F2122C">
        <w:tab/>
      </w:r>
      <w:r w:rsidR="004A2397" w:rsidRPr="00C55F31">
        <w:t>Infection and health care waste</w:t>
      </w:r>
      <w:bookmarkEnd w:id="72"/>
    </w:p>
    <w:p w14:paraId="2467C02D" w14:textId="743F4D19" w:rsidR="00A96555" w:rsidRPr="004A2397" w:rsidRDefault="00A96555" w:rsidP="004A2397">
      <w:pPr>
        <w:pStyle w:val="HHLBodyText"/>
        <w:rPr>
          <w:b/>
        </w:rPr>
      </w:pPr>
      <w:r w:rsidRPr="004A2397">
        <w:rPr>
          <w:b/>
        </w:rPr>
        <w:t>Our practice prevents and controls infection and manages health care waste.</w:t>
      </w:r>
    </w:p>
    <w:tbl>
      <w:tblPr>
        <w:tblStyle w:val="TableGrid1"/>
        <w:tblW w:w="0" w:type="auto"/>
        <w:tblLook w:val="04A0" w:firstRow="1" w:lastRow="0" w:firstColumn="1" w:lastColumn="0" w:noHBand="0" w:noVBand="1"/>
      </w:tblPr>
      <w:tblGrid>
        <w:gridCol w:w="1151"/>
        <w:gridCol w:w="4541"/>
        <w:gridCol w:w="4050"/>
      </w:tblGrid>
      <w:tr w:rsidR="00A96555" w:rsidRPr="00A81435" w14:paraId="4D2B44B4" w14:textId="77777777" w:rsidTr="00185102">
        <w:tc>
          <w:tcPr>
            <w:tcW w:w="1153" w:type="dxa"/>
            <w:shd w:val="clear" w:color="auto" w:fill="FBD4B4" w:themeFill="accent6" w:themeFillTint="66"/>
          </w:tcPr>
          <w:p w14:paraId="3B444C6C" w14:textId="77777777" w:rsidR="00A96555" w:rsidRPr="00A81435" w:rsidRDefault="00A96555" w:rsidP="0018510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4634AF6A" w14:textId="77777777" w:rsidR="00A96555" w:rsidRPr="00A81435" w:rsidRDefault="00A96555" w:rsidP="0018510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6E3A49BA" w14:textId="486AE90F" w:rsidR="00A96555" w:rsidRPr="00A81435" w:rsidRDefault="00A96555" w:rsidP="00185102">
            <w:pPr>
              <w:spacing w:before="120" w:after="120"/>
              <w:rPr>
                <w:b/>
                <w:color w:val="auto"/>
                <w:sz w:val="22"/>
                <w:szCs w:val="22"/>
              </w:rPr>
            </w:pPr>
            <w:r w:rsidRPr="00A81435">
              <w:rPr>
                <w:b/>
                <w:color w:val="auto"/>
                <w:sz w:val="22"/>
                <w:szCs w:val="22"/>
              </w:rPr>
              <w:t>Required evidence</w:t>
            </w:r>
          </w:p>
        </w:tc>
      </w:tr>
      <w:tr w:rsidR="004A75A1" w:rsidRPr="00A81435" w14:paraId="10717C9F" w14:textId="77777777" w:rsidTr="004A75A1">
        <w:tc>
          <w:tcPr>
            <w:tcW w:w="1153" w:type="dxa"/>
          </w:tcPr>
          <w:p w14:paraId="0FF78908" w14:textId="5F30E944" w:rsidR="004A75A1" w:rsidRPr="00A81435" w:rsidRDefault="004A75A1" w:rsidP="00185102">
            <w:pPr>
              <w:spacing w:before="60"/>
              <w:rPr>
                <w:color w:val="auto"/>
                <w:sz w:val="22"/>
                <w:szCs w:val="22"/>
              </w:rPr>
            </w:pPr>
            <w:r>
              <w:rPr>
                <w:color w:val="auto"/>
                <w:sz w:val="22"/>
                <w:szCs w:val="22"/>
              </w:rPr>
              <w:t>2</w:t>
            </w:r>
            <w:r w:rsidR="00C447AF">
              <w:rPr>
                <w:color w:val="auto"/>
                <w:sz w:val="22"/>
                <w:szCs w:val="22"/>
              </w:rPr>
              <w:t>6</w:t>
            </w:r>
            <w:r w:rsidRPr="00A81435">
              <w:rPr>
                <w:color w:val="auto"/>
                <w:sz w:val="22"/>
                <w:szCs w:val="22"/>
              </w:rPr>
              <w:t>.1</w:t>
            </w:r>
          </w:p>
        </w:tc>
        <w:tc>
          <w:tcPr>
            <w:tcW w:w="4568" w:type="dxa"/>
          </w:tcPr>
          <w:p w14:paraId="347923FA" w14:textId="38B67695" w:rsidR="004A75A1" w:rsidRPr="004A75A1" w:rsidRDefault="00365C8B" w:rsidP="004A75A1">
            <w:pPr>
              <w:tabs>
                <w:tab w:val="left" w:pos="166"/>
              </w:tabs>
              <w:spacing w:before="60"/>
              <w:rPr>
                <w:rFonts w:cs="Arial"/>
                <w:color w:val="auto"/>
                <w:sz w:val="22"/>
                <w:szCs w:val="22"/>
              </w:rPr>
            </w:pPr>
            <w:r>
              <w:rPr>
                <w:rFonts w:cs="Arial"/>
                <w:color w:val="auto"/>
                <w:sz w:val="22"/>
                <w:szCs w:val="22"/>
              </w:rPr>
              <w:t xml:space="preserve">Ensure they have </w:t>
            </w:r>
            <w:r w:rsidR="001E3D73">
              <w:rPr>
                <w:rFonts w:cs="Arial"/>
                <w:color w:val="auto"/>
                <w:sz w:val="22"/>
                <w:szCs w:val="22"/>
              </w:rPr>
              <w:t>and follow</w:t>
            </w:r>
            <w:r w:rsidR="004A75A1" w:rsidRPr="004A75A1">
              <w:rPr>
                <w:rFonts w:cs="Arial"/>
                <w:color w:val="auto"/>
                <w:sz w:val="22"/>
                <w:szCs w:val="22"/>
              </w:rPr>
              <w:t xml:space="preserve"> active infection control procedures aligned to AS/NZS 4815:2006</w:t>
            </w:r>
            <w:r w:rsidR="00846F78">
              <w:rPr>
                <w:rFonts w:cs="Arial"/>
                <w:color w:val="auto"/>
                <w:sz w:val="22"/>
                <w:szCs w:val="22"/>
              </w:rPr>
              <w:t>.</w:t>
            </w:r>
          </w:p>
          <w:p w14:paraId="2650B101" w14:textId="6549CE91" w:rsidR="004A75A1" w:rsidRPr="004A75A1" w:rsidRDefault="004A75A1" w:rsidP="00185102">
            <w:pPr>
              <w:tabs>
                <w:tab w:val="left" w:pos="151"/>
              </w:tabs>
              <w:spacing w:before="60"/>
              <w:rPr>
                <w:rFonts w:cs="Arial"/>
                <w:color w:val="auto"/>
                <w:sz w:val="22"/>
                <w:szCs w:val="22"/>
              </w:rPr>
            </w:pPr>
          </w:p>
        </w:tc>
        <w:tc>
          <w:tcPr>
            <w:tcW w:w="4075" w:type="dxa"/>
            <w:vMerge w:val="restart"/>
            <w:vAlign w:val="center"/>
          </w:tcPr>
          <w:p w14:paraId="11D9F749" w14:textId="4E7AEEC6" w:rsidR="004A75A1" w:rsidRPr="00882066" w:rsidRDefault="009C656B" w:rsidP="00882066">
            <w:pPr>
              <w:spacing w:before="60"/>
              <w:ind w:left="14"/>
              <w:rPr>
                <w:color w:val="auto"/>
                <w:sz w:val="22"/>
                <w:szCs w:val="22"/>
              </w:rPr>
            </w:pPr>
            <w:r w:rsidRPr="00882066">
              <w:rPr>
                <w:color w:val="auto"/>
                <w:sz w:val="22"/>
                <w:szCs w:val="22"/>
              </w:rPr>
              <w:t>Documented</w:t>
            </w:r>
            <w:r w:rsidR="00DB70E0" w:rsidRPr="00882066">
              <w:rPr>
                <w:color w:val="auto"/>
                <w:sz w:val="22"/>
                <w:szCs w:val="22"/>
              </w:rPr>
              <w:t xml:space="preserve"> p</w:t>
            </w:r>
            <w:r w:rsidR="004A75A1" w:rsidRPr="00882066">
              <w:rPr>
                <w:color w:val="auto"/>
                <w:sz w:val="22"/>
                <w:szCs w:val="22"/>
              </w:rPr>
              <w:t xml:space="preserve">olicies and procedures, </w:t>
            </w:r>
            <w:r w:rsidR="00573E02" w:rsidRPr="00882066">
              <w:rPr>
                <w:color w:val="auto"/>
                <w:sz w:val="22"/>
                <w:szCs w:val="22"/>
              </w:rPr>
              <w:t>aligned</w:t>
            </w:r>
            <w:r w:rsidR="004A75A1" w:rsidRPr="00882066">
              <w:rPr>
                <w:color w:val="auto"/>
                <w:sz w:val="22"/>
                <w:szCs w:val="22"/>
              </w:rPr>
              <w:t xml:space="preserve"> with </w:t>
            </w:r>
            <w:r w:rsidR="00573E02" w:rsidRPr="00882066">
              <w:rPr>
                <w:color w:val="auto"/>
                <w:sz w:val="22"/>
                <w:szCs w:val="22"/>
              </w:rPr>
              <w:t>standards</w:t>
            </w:r>
            <w:r w:rsidR="004A75A1" w:rsidRPr="00882066">
              <w:rPr>
                <w:color w:val="auto"/>
                <w:sz w:val="22"/>
                <w:szCs w:val="22"/>
              </w:rPr>
              <w:t xml:space="preserve">, for infection control and </w:t>
            </w:r>
            <w:r w:rsidRPr="00882066">
              <w:rPr>
                <w:color w:val="auto"/>
                <w:sz w:val="22"/>
                <w:szCs w:val="22"/>
              </w:rPr>
              <w:t>management</w:t>
            </w:r>
            <w:r w:rsidR="00DB70E0" w:rsidRPr="00882066">
              <w:rPr>
                <w:color w:val="auto"/>
                <w:sz w:val="22"/>
                <w:szCs w:val="22"/>
              </w:rPr>
              <w:t xml:space="preserve"> of </w:t>
            </w:r>
            <w:r w:rsidR="004A75A1" w:rsidRPr="00882066">
              <w:rPr>
                <w:color w:val="auto"/>
                <w:sz w:val="22"/>
                <w:szCs w:val="22"/>
              </w:rPr>
              <w:t>health care waste.</w:t>
            </w:r>
          </w:p>
          <w:p w14:paraId="00A33694" w14:textId="72B2412C" w:rsidR="004A75A1" w:rsidRPr="00882066" w:rsidRDefault="00365C8B" w:rsidP="00882066">
            <w:pPr>
              <w:spacing w:before="60"/>
              <w:ind w:left="14"/>
              <w:rPr>
                <w:color w:val="auto"/>
                <w:sz w:val="22"/>
                <w:szCs w:val="22"/>
              </w:rPr>
            </w:pPr>
            <w:r w:rsidRPr="00882066">
              <w:rPr>
                <w:color w:val="auto"/>
                <w:sz w:val="22"/>
                <w:szCs w:val="22"/>
              </w:rPr>
              <w:t xml:space="preserve">Demonstrate </w:t>
            </w:r>
            <w:r w:rsidR="00231C6E" w:rsidRPr="00882066">
              <w:rPr>
                <w:color w:val="auto"/>
                <w:sz w:val="22"/>
                <w:szCs w:val="22"/>
              </w:rPr>
              <w:t xml:space="preserve">how these </w:t>
            </w:r>
            <w:r w:rsidR="00ED3B10" w:rsidRPr="00882066">
              <w:rPr>
                <w:color w:val="auto"/>
                <w:sz w:val="22"/>
                <w:szCs w:val="22"/>
              </w:rPr>
              <w:t>polices,</w:t>
            </w:r>
            <w:r w:rsidR="00231C6E" w:rsidRPr="00882066">
              <w:rPr>
                <w:color w:val="auto"/>
                <w:sz w:val="22"/>
                <w:szCs w:val="22"/>
              </w:rPr>
              <w:t xml:space="preserve"> and procedures are followed.</w:t>
            </w:r>
          </w:p>
        </w:tc>
      </w:tr>
      <w:tr w:rsidR="004A75A1" w:rsidRPr="00A81435" w14:paraId="26C965D8" w14:textId="77777777" w:rsidTr="00185102">
        <w:tc>
          <w:tcPr>
            <w:tcW w:w="1153" w:type="dxa"/>
          </w:tcPr>
          <w:p w14:paraId="6AA2C750" w14:textId="0EC9F4C6" w:rsidR="004A75A1" w:rsidRDefault="00952B2F" w:rsidP="00185102">
            <w:pPr>
              <w:spacing w:before="60"/>
              <w:rPr>
                <w:color w:val="auto"/>
                <w:sz w:val="22"/>
                <w:szCs w:val="22"/>
              </w:rPr>
            </w:pPr>
            <w:r>
              <w:rPr>
                <w:color w:val="auto"/>
                <w:sz w:val="22"/>
                <w:szCs w:val="22"/>
              </w:rPr>
              <w:t>2</w:t>
            </w:r>
            <w:r w:rsidR="00C447AF">
              <w:rPr>
                <w:color w:val="auto"/>
                <w:sz w:val="22"/>
                <w:szCs w:val="22"/>
              </w:rPr>
              <w:t>6</w:t>
            </w:r>
            <w:r>
              <w:rPr>
                <w:color w:val="auto"/>
                <w:sz w:val="22"/>
                <w:szCs w:val="22"/>
              </w:rPr>
              <w:t>.2</w:t>
            </w:r>
          </w:p>
        </w:tc>
        <w:tc>
          <w:tcPr>
            <w:tcW w:w="4568" w:type="dxa"/>
          </w:tcPr>
          <w:p w14:paraId="01C54473" w14:textId="3B7B3111" w:rsidR="004A75A1" w:rsidRPr="004A75A1" w:rsidRDefault="00365C8B" w:rsidP="004A75A1">
            <w:pPr>
              <w:tabs>
                <w:tab w:val="left" w:pos="166"/>
              </w:tabs>
              <w:spacing w:before="60"/>
              <w:rPr>
                <w:rFonts w:cs="Arial"/>
                <w:color w:val="auto"/>
                <w:sz w:val="22"/>
                <w:szCs w:val="22"/>
              </w:rPr>
            </w:pPr>
            <w:r>
              <w:rPr>
                <w:rFonts w:cs="Arial"/>
                <w:color w:val="auto"/>
                <w:sz w:val="22"/>
                <w:szCs w:val="22"/>
              </w:rPr>
              <w:t xml:space="preserve">Ensure they have </w:t>
            </w:r>
            <w:r w:rsidR="001E3D73">
              <w:rPr>
                <w:rFonts w:cs="Arial"/>
                <w:color w:val="auto"/>
                <w:sz w:val="22"/>
                <w:szCs w:val="22"/>
              </w:rPr>
              <w:t>and follow</w:t>
            </w:r>
            <w:r w:rsidR="004A75A1" w:rsidRPr="004A75A1">
              <w:rPr>
                <w:rFonts w:cs="Arial"/>
                <w:color w:val="auto"/>
                <w:sz w:val="22"/>
                <w:szCs w:val="22"/>
              </w:rPr>
              <w:t xml:space="preserve"> active health care waste management procedures aligned to NZS 4304:2002</w:t>
            </w:r>
            <w:r w:rsidR="00846F78">
              <w:rPr>
                <w:rFonts w:cs="Arial"/>
                <w:color w:val="auto"/>
                <w:sz w:val="22"/>
                <w:szCs w:val="22"/>
              </w:rPr>
              <w:t>.</w:t>
            </w:r>
          </w:p>
        </w:tc>
        <w:tc>
          <w:tcPr>
            <w:tcW w:w="4075" w:type="dxa"/>
            <w:vMerge/>
          </w:tcPr>
          <w:p w14:paraId="07DF90F9" w14:textId="77777777" w:rsidR="004A75A1" w:rsidRPr="004A75A1" w:rsidRDefault="004A75A1" w:rsidP="00185102">
            <w:pPr>
              <w:spacing w:before="60"/>
              <w:rPr>
                <w:color w:val="auto"/>
                <w:sz w:val="22"/>
                <w:szCs w:val="22"/>
              </w:rPr>
            </w:pPr>
          </w:p>
        </w:tc>
      </w:tr>
      <w:tr w:rsidR="00A96555" w:rsidRPr="00A81435" w14:paraId="6F09E15B" w14:textId="77777777" w:rsidTr="00185102">
        <w:tc>
          <w:tcPr>
            <w:tcW w:w="1153" w:type="dxa"/>
          </w:tcPr>
          <w:p w14:paraId="0AE38079" w14:textId="073DE836" w:rsidR="00A96555" w:rsidRDefault="00952B2F" w:rsidP="00185102">
            <w:pPr>
              <w:spacing w:before="60"/>
              <w:rPr>
                <w:color w:val="auto"/>
                <w:sz w:val="22"/>
                <w:szCs w:val="22"/>
              </w:rPr>
            </w:pPr>
            <w:r>
              <w:rPr>
                <w:color w:val="auto"/>
                <w:sz w:val="22"/>
                <w:szCs w:val="22"/>
              </w:rPr>
              <w:t>2</w:t>
            </w:r>
            <w:r w:rsidR="00C447AF">
              <w:rPr>
                <w:color w:val="auto"/>
                <w:sz w:val="22"/>
                <w:szCs w:val="22"/>
              </w:rPr>
              <w:t>6</w:t>
            </w:r>
            <w:r>
              <w:rPr>
                <w:color w:val="auto"/>
                <w:sz w:val="22"/>
                <w:szCs w:val="22"/>
              </w:rPr>
              <w:t>.3</w:t>
            </w:r>
          </w:p>
        </w:tc>
        <w:tc>
          <w:tcPr>
            <w:tcW w:w="4568" w:type="dxa"/>
          </w:tcPr>
          <w:p w14:paraId="54C4594A" w14:textId="6B60199A" w:rsidR="00A96555" w:rsidRPr="004A75A1" w:rsidRDefault="004A75A1" w:rsidP="00185102">
            <w:pPr>
              <w:tabs>
                <w:tab w:val="left" w:pos="151"/>
              </w:tabs>
              <w:spacing w:before="60"/>
              <w:rPr>
                <w:rFonts w:cs="Arial"/>
                <w:color w:val="auto"/>
                <w:sz w:val="22"/>
                <w:szCs w:val="22"/>
              </w:rPr>
            </w:pPr>
            <w:r w:rsidRPr="004A75A1">
              <w:rPr>
                <w:rFonts w:cs="Arial"/>
                <w:color w:val="auto"/>
                <w:sz w:val="22"/>
                <w:szCs w:val="22"/>
              </w:rPr>
              <w:t>Have puncture-resistant sharps containers that are out of reach of children and display a biohazard symbol in accordance with NZS 4304:2002, in all areas where sharps are used</w:t>
            </w:r>
            <w:r w:rsidR="00BB799A">
              <w:rPr>
                <w:rFonts w:cs="Arial"/>
                <w:color w:val="auto"/>
                <w:sz w:val="22"/>
                <w:szCs w:val="22"/>
              </w:rPr>
              <w:t>.</w:t>
            </w:r>
          </w:p>
        </w:tc>
        <w:tc>
          <w:tcPr>
            <w:tcW w:w="4075" w:type="dxa"/>
          </w:tcPr>
          <w:p w14:paraId="0BA25E57" w14:textId="00162B3A" w:rsidR="00A96555" w:rsidRPr="004A75A1" w:rsidRDefault="006047D7" w:rsidP="00185102">
            <w:pPr>
              <w:spacing w:before="60"/>
              <w:rPr>
                <w:color w:val="auto"/>
                <w:sz w:val="22"/>
                <w:szCs w:val="22"/>
              </w:rPr>
            </w:pPr>
            <w:r>
              <w:rPr>
                <w:color w:val="auto"/>
                <w:sz w:val="22"/>
                <w:szCs w:val="22"/>
                <w:lang w:val="en-NZ"/>
              </w:rPr>
              <w:t>Demonstrate the use of and disposure of puncture resistance containers</w:t>
            </w:r>
            <w:r w:rsidR="00407354">
              <w:rPr>
                <w:color w:val="auto"/>
                <w:sz w:val="22"/>
                <w:szCs w:val="22"/>
                <w:lang w:val="en-NZ"/>
              </w:rPr>
              <w:t>.</w:t>
            </w:r>
          </w:p>
        </w:tc>
      </w:tr>
      <w:tr w:rsidR="00A96555" w:rsidRPr="00A81435" w14:paraId="745102CD" w14:textId="77777777" w:rsidTr="00185102">
        <w:tc>
          <w:tcPr>
            <w:tcW w:w="1153" w:type="dxa"/>
          </w:tcPr>
          <w:p w14:paraId="7CB7363E" w14:textId="069A2F41" w:rsidR="00A96555" w:rsidRDefault="00952B2F" w:rsidP="00185102">
            <w:pPr>
              <w:spacing w:before="60"/>
              <w:rPr>
                <w:color w:val="auto"/>
                <w:sz w:val="22"/>
                <w:szCs w:val="22"/>
              </w:rPr>
            </w:pPr>
            <w:r>
              <w:rPr>
                <w:color w:val="auto"/>
                <w:sz w:val="22"/>
                <w:szCs w:val="22"/>
              </w:rPr>
              <w:t>2</w:t>
            </w:r>
            <w:r w:rsidR="00C447AF">
              <w:rPr>
                <w:color w:val="auto"/>
                <w:sz w:val="22"/>
                <w:szCs w:val="22"/>
              </w:rPr>
              <w:t>6</w:t>
            </w:r>
            <w:r>
              <w:rPr>
                <w:color w:val="auto"/>
                <w:sz w:val="22"/>
                <w:szCs w:val="22"/>
              </w:rPr>
              <w:t>.4</w:t>
            </w:r>
          </w:p>
        </w:tc>
        <w:tc>
          <w:tcPr>
            <w:tcW w:w="4568" w:type="dxa"/>
          </w:tcPr>
          <w:p w14:paraId="5C0F0D8B" w14:textId="77777777" w:rsidR="004A75A1" w:rsidRPr="004A75A1" w:rsidRDefault="004A75A1" w:rsidP="004A75A1">
            <w:pPr>
              <w:tabs>
                <w:tab w:val="left" w:pos="166"/>
              </w:tabs>
              <w:spacing w:before="60"/>
              <w:rPr>
                <w:rFonts w:cs="Arial"/>
                <w:color w:val="auto"/>
                <w:sz w:val="22"/>
                <w:szCs w:val="22"/>
              </w:rPr>
            </w:pPr>
            <w:r w:rsidRPr="004A75A1">
              <w:rPr>
                <w:rFonts w:cs="Arial"/>
                <w:color w:val="auto"/>
                <w:sz w:val="22"/>
                <w:szCs w:val="22"/>
              </w:rPr>
              <w:t>For practices that use sterilisers:</w:t>
            </w:r>
          </w:p>
          <w:p w14:paraId="48877C9D" w14:textId="1A280403" w:rsidR="004A75A1" w:rsidRPr="004A75A1" w:rsidRDefault="004A75A1" w:rsidP="00F6456F">
            <w:pPr>
              <w:pStyle w:val="ListParagraph"/>
              <w:numPr>
                <w:ilvl w:val="0"/>
                <w:numId w:val="8"/>
              </w:numPr>
              <w:tabs>
                <w:tab w:val="left" w:pos="166"/>
              </w:tabs>
              <w:spacing w:before="60"/>
              <w:ind w:left="271" w:hanging="180"/>
              <w:contextualSpacing w:val="0"/>
              <w:rPr>
                <w:rFonts w:cs="Arial"/>
                <w:color w:val="auto"/>
                <w:sz w:val="22"/>
                <w:szCs w:val="22"/>
              </w:rPr>
            </w:pPr>
            <w:r w:rsidRPr="004A75A1">
              <w:rPr>
                <w:rFonts w:cs="Arial"/>
                <w:color w:val="auto"/>
                <w:sz w:val="22"/>
                <w:szCs w:val="22"/>
              </w:rPr>
              <w:t>Monitor the effectiveness of each sterilisation cycle</w:t>
            </w:r>
            <w:r w:rsidR="00F6456F">
              <w:rPr>
                <w:rFonts w:cs="Arial"/>
                <w:color w:val="auto"/>
                <w:sz w:val="22"/>
                <w:szCs w:val="22"/>
              </w:rPr>
              <w:t>.</w:t>
            </w:r>
          </w:p>
          <w:p w14:paraId="1BA8E8CE" w14:textId="2C81C7A9" w:rsidR="00A96555" w:rsidRPr="00B52E34" w:rsidRDefault="004A75A1" w:rsidP="00185102">
            <w:pPr>
              <w:pStyle w:val="ListParagraph"/>
              <w:numPr>
                <w:ilvl w:val="0"/>
                <w:numId w:val="8"/>
              </w:numPr>
              <w:tabs>
                <w:tab w:val="left" w:pos="166"/>
              </w:tabs>
              <w:spacing w:before="60"/>
              <w:ind w:left="271" w:hanging="180"/>
              <w:contextualSpacing w:val="0"/>
              <w:rPr>
                <w:rFonts w:cs="Arial"/>
                <w:color w:val="auto"/>
                <w:sz w:val="22"/>
                <w:szCs w:val="22"/>
              </w:rPr>
            </w:pPr>
            <w:r w:rsidRPr="004A75A1">
              <w:rPr>
                <w:rFonts w:cs="Arial"/>
                <w:color w:val="auto"/>
                <w:sz w:val="22"/>
                <w:szCs w:val="22"/>
              </w:rPr>
              <w:t xml:space="preserve">Ensure current calibration and validation </w:t>
            </w:r>
            <w:r w:rsidR="00A02AA2">
              <w:rPr>
                <w:rFonts w:cs="Arial"/>
                <w:color w:val="auto"/>
                <w:sz w:val="22"/>
                <w:szCs w:val="22"/>
              </w:rPr>
              <w:t xml:space="preserve">of </w:t>
            </w:r>
            <w:r w:rsidRPr="004A75A1">
              <w:rPr>
                <w:rFonts w:cs="Arial"/>
                <w:color w:val="auto"/>
                <w:sz w:val="22"/>
                <w:szCs w:val="22"/>
              </w:rPr>
              <w:t>the sterili</w:t>
            </w:r>
            <w:r w:rsidR="006E5766">
              <w:rPr>
                <w:rFonts w:cs="Arial"/>
                <w:color w:val="auto"/>
                <w:sz w:val="22"/>
                <w:szCs w:val="22"/>
              </w:rPr>
              <w:t>s</w:t>
            </w:r>
            <w:r w:rsidRPr="004A75A1">
              <w:rPr>
                <w:rFonts w:cs="Arial"/>
                <w:color w:val="auto"/>
                <w:sz w:val="22"/>
                <w:szCs w:val="22"/>
              </w:rPr>
              <w:t>er(s)</w:t>
            </w:r>
            <w:r w:rsidR="00BB799A">
              <w:rPr>
                <w:rFonts w:cs="Arial"/>
                <w:color w:val="auto"/>
                <w:sz w:val="22"/>
                <w:szCs w:val="22"/>
              </w:rPr>
              <w:t>.</w:t>
            </w:r>
          </w:p>
        </w:tc>
        <w:tc>
          <w:tcPr>
            <w:tcW w:w="4075" w:type="dxa"/>
          </w:tcPr>
          <w:p w14:paraId="7CD2F411" w14:textId="5AE2A36E" w:rsidR="004A75A1" w:rsidRPr="00882066" w:rsidRDefault="00882066" w:rsidP="00882066">
            <w:pPr>
              <w:spacing w:before="60"/>
              <w:ind w:left="14"/>
              <w:rPr>
                <w:color w:val="auto"/>
                <w:sz w:val="22"/>
                <w:szCs w:val="22"/>
              </w:rPr>
            </w:pPr>
            <w:r>
              <w:rPr>
                <w:color w:val="auto"/>
                <w:sz w:val="22"/>
                <w:szCs w:val="22"/>
              </w:rPr>
              <w:t>Documented c</w:t>
            </w:r>
            <w:r w:rsidR="004A75A1" w:rsidRPr="00882066">
              <w:rPr>
                <w:color w:val="auto"/>
                <w:sz w:val="22"/>
                <w:szCs w:val="22"/>
              </w:rPr>
              <w:t>urrent calibration and validation record</w:t>
            </w:r>
            <w:r w:rsidR="00DB70E0" w:rsidRPr="00882066">
              <w:rPr>
                <w:color w:val="auto"/>
                <w:sz w:val="22"/>
                <w:szCs w:val="22"/>
              </w:rPr>
              <w:t>s</w:t>
            </w:r>
            <w:r w:rsidR="004A75A1" w:rsidRPr="00882066">
              <w:rPr>
                <w:color w:val="auto"/>
                <w:sz w:val="22"/>
                <w:szCs w:val="22"/>
              </w:rPr>
              <w:t xml:space="preserve"> </w:t>
            </w:r>
            <w:r w:rsidR="00DB70E0" w:rsidRPr="00882066">
              <w:rPr>
                <w:color w:val="auto"/>
                <w:sz w:val="22"/>
                <w:szCs w:val="22"/>
              </w:rPr>
              <w:t>are</w:t>
            </w:r>
            <w:r w:rsidR="004A75A1" w:rsidRPr="00882066">
              <w:rPr>
                <w:color w:val="auto"/>
                <w:sz w:val="22"/>
                <w:szCs w:val="22"/>
              </w:rPr>
              <w:t xml:space="preserve"> available)</w:t>
            </w:r>
            <w:r>
              <w:rPr>
                <w:color w:val="auto"/>
                <w:sz w:val="22"/>
                <w:szCs w:val="22"/>
              </w:rPr>
              <w:t>.</w:t>
            </w:r>
          </w:p>
          <w:p w14:paraId="39F7D91D" w14:textId="363BEC87" w:rsidR="00A96555" w:rsidRPr="004A75A1" w:rsidRDefault="00882066" w:rsidP="00B84834">
            <w:pPr>
              <w:spacing w:before="60"/>
              <w:ind w:left="14"/>
              <w:rPr>
                <w:color w:val="auto"/>
                <w:sz w:val="22"/>
                <w:szCs w:val="22"/>
              </w:rPr>
            </w:pPr>
            <w:r>
              <w:rPr>
                <w:color w:val="auto"/>
                <w:sz w:val="22"/>
                <w:szCs w:val="22"/>
              </w:rPr>
              <w:t>Documented e</w:t>
            </w:r>
            <w:r w:rsidR="00C36F80" w:rsidRPr="00882066">
              <w:rPr>
                <w:color w:val="auto"/>
                <w:sz w:val="22"/>
                <w:szCs w:val="22"/>
              </w:rPr>
              <w:t xml:space="preserve">vidence of sterilisation </w:t>
            </w:r>
            <w:r w:rsidR="00A02AA2" w:rsidRPr="00882066">
              <w:rPr>
                <w:color w:val="auto"/>
                <w:sz w:val="22"/>
                <w:szCs w:val="22"/>
              </w:rPr>
              <w:t xml:space="preserve">calibration and effectiveness </w:t>
            </w:r>
            <w:r w:rsidR="00C36F80" w:rsidRPr="00882066">
              <w:rPr>
                <w:color w:val="auto"/>
                <w:sz w:val="22"/>
                <w:szCs w:val="22"/>
              </w:rPr>
              <w:t>monitoring.</w:t>
            </w:r>
          </w:p>
        </w:tc>
      </w:tr>
    </w:tbl>
    <w:p w14:paraId="48FFD4D0" w14:textId="77777777" w:rsidR="00B42A08" w:rsidRPr="005B2DE1" w:rsidRDefault="00B42A08" w:rsidP="00B42A08">
      <w:pPr>
        <w:pStyle w:val="HHLBodyText"/>
        <w:spacing w:before="240"/>
        <w:rPr>
          <w:b/>
          <w:sz w:val="22"/>
          <w:szCs w:val="22"/>
        </w:rPr>
      </w:pPr>
      <w:r w:rsidRPr="005B2DE1">
        <w:rPr>
          <w:b/>
          <w:sz w:val="22"/>
          <w:szCs w:val="22"/>
        </w:rPr>
        <w:t>Required training</w:t>
      </w:r>
    </w:p>
    <w:p w14:paraId="179825BC" w14:textId="6ADC9EC0" w:rsidR="00B42A08" w:rsidRDefault="00EA3726" w:rsidP="00AF3512">
      <w:pPr>
        <w:spacing w:after="120"/>
        <w:rPr>
          <w:color w:val="auto"/>
          <w:sz w:val="22"/>
          <w:szCs w:val="22"/>
        </w:rPr>
      </w:pPr>
      <w:r w:rsidRPr="00C70604">
        <w:rPr>
          <w:color w:val="auto"/>
          <w:sz w:val="22"/>
          <w:szCs w:val="22"/>
        </w:rPr>
        <w:t xml:space="preserve">General practice team members </w:t>
      </w:r>
      <w:r w:rsidR="00573E02" w:rsidRPr="00C70604">
        <w:rPr>
          <w:color w:val="auto"/>
          <w:sz w:val="22"/>
          <w:szCs w:val="22"/>
        </w:rPr>
        <w:t>responsible</w:t>
      </w:r>
      <w:r w:rsidR="00C70604" w:rsidRPr="00C70604">
        <w:rPr>
          <w:color w:val="auto"/>
          <w:sz w:val="22"/>
          <w:szCs w:val="22"/>
        </w:rPr>
        <w:t xml:space="preserve"> for sterilisation and disinfection have received training in the last three years.</w:t>
      </w:r>
    </w:p>
    <w:p w14:paraId="6CC6A3B8" w14:textId="42EC6501" w:rsidR="00A96555" w:rsidRDefault="00A96555" w:rsidP="00A96555">
      <w:pPr>
        <w:spacing w:before="240" w:after="120"/>
        <w:rPr>
          <w:b/>
          <w:color w:val="auto"/>
          <w:sz w:val="22"/>
          <w:szCs w:val="22"/>
        </w:rPr>
      </w:pPr>
      <w:r w:rsidRPr="00A81435">
        <w:rPr>
          <w:b/>
          <w:color w:val="auto"/>
          <w:sz w:val="22"/>
          <w:szCs w:val="22"/>
        </w:rPr>
        <w:t>Guidance notes</w:t>
      </w:r>
    </w:p>
    <w:p w14:paraId="5EF56153" w14:textId="3E8FDD0B" w:rsidR="005F31F5" w:rsidRPr="00C447AF" w:rsidRDefault="005F31F5" w:rsidP="00A77040">
      <w:pPr>
        <w:pStyle w:val="HHLBodyText"/>
        <w:spacing w:before="240"/>
        <w:rPr>
          <w:i/>
        </w:rPr>
      </w:pPr>
      <w:r>
        <w:rPr>
          <w:i/>
        </w:rPr>
        <w:t>Health Care Waste</w:t>
      </w:r>
    </w:p>
    <w:p w14:paraId="66D40CCC" w14:textId="05778296" w:rsidR="00D87610" w:rsidRPr="005F31F5" w:rsidRDefault="00D87610" w:rsidP="00D87610">
      <w:pPr>
        <w:rPr>
          <w:color w:val="auto"/>
          <w:sz w:val="22"/>
          <w:szCs w:val="22"/>
        </w:rPr>
      </w:pPr>
      <w:r w:rsidRPr="005F31F5">
        <w:rPr>
          <w:color w:val="auto"/>
          <w:sz w:val="22"/>
          <w:szCs w:val="22"/>
        </w:rPr>
        <w:t>New Zealand Standard NZS 4304:2002 details how health care waste is managed. Management of some hazardous waste will require reference to other sources (</w:t>
      </w:r>
      <w:r w:rsidR="002D3694" w:rsidRPr="005F31F5">
        <w:rPr>
          <w:color w:val="auto"/>
          <w:sz w:val="22"/>
          <w:szCs w:val="22"/>
        </w:rPr>
        <w:t>e.g.</w:t>
      </w:r>
      <w:r w:rsidRPr="005F31F5">
        <w:rPr>
          <w:color w:val="auto"/>
          <w:sz w:val="22"/>
          <w:szCs w:val="22"/>
        </w:rPr>
        <w:t xml:space="preserve"> National Radiation Laboratory Code or controls under the HSNO Act).</w:t>
      </w:r>
    </w:p>
    <w:p w14:paraId="29A581C7" w14:textId="073139ED" w:rsidR="00D87610" w:rsidRPr="005F31F5" w:rsidRDefault="00D87610" w:rsidP="00F610E8">
      <w:pPr>
        <w:spacing w:before="120" w:after="0"/>
        <w:rPr>
          <w:color w:val="auto"/>
          <w:sz w:val="22"/>
          <w:szCs w:val="22"/>
        </w:rPr>
      </w:pPr>
      <w:r w:rsidRPr="005F31F5">
        <w:rPr>
          <w:color w:val="auto"/>
          <w:sz w:val="22"/>
          <w:szCs w:val="22"/>
        </w:rPr>
        <w:t>Health care waste refers to all waste generated by a health care facility and includes ‘non-hazardous’, ‘controlled’ and ‘hazardous’ waste. Non-hazardous waste constitutes the bulk of waste generated and is managed in the same way as household waste.</w:t>
      </w:r>
      <w:r w:rsidR="00F610E8">
        <w:rPr>
          <w:color w:val="auto"/>
          <w:sz w:val="22"/>
          <w:szCs w:val="22"/>
        </w:rPr>
        <w:t xml:space="preserve"> </w:t>
      </w:r>
      <w:r w:rsidRPr="005F31F5">
        <w:rPr>
          <w:color w:val="auto"/>
          <w:sz w:val="22"/>
          <w:szCs w:val="22"/>
        </w:rPr>
        <w:t>Hazardous waste requires proper handling, storage, transport and disposal to minimise risk to personnel, the public and the environment, and to prevent causing cultural or aesthetic offence.</w:t>
      </w:r>
    </w:p>
    <w:p w14:paraId="4D707D71" w14:textId="77777777" w:rsidR="00D87610" w:rsidRPr="005F31F5" w:rsidRDefault="00D87610" w:rsidP="00F610E8">
      <w:pPr>
        <w:spacing w:before="120" w:after="0"/>
        <w:rPr>
          <w:color w:val="auto"/>
          <w:sz w:val="22"/>
          <w:szCs w:val="22"/>
        </w:rPr>
      </w:pPr>
      <w:r w:rsidRPr="005F31F5">
        <w:rPr>
          <w:color w:val="auto"/>
          <w:sz w:val="22"/>
          <w:szCs w:val="22"/>
        </w:rPr>
        <w:t>A fundamental principle of waste management is the minimisation of waste.</w:t>
      </w:r>
    </w:p>
    <w:p w14:paraId="61CF5714" w14:textId="17C817F2" w:rsidR="00B643BD" w:rsidRPr="005F31F5" w:rsidRDefault="00B643BD" w:rsidP="00F610E8">
      <w:pPr>
        <w:spacing w:before="120" w:after="0"/>
        <w:rPr>
          <w:color w:val="auto"/>
          <w:sz w:val="22"/>
          <w:szCs w:val="22"/>
        </w:rPr>
      </w:pPr>
      <w:r w:rsidRPr="005F31F5">
        <w:rPr>
          <w:color w:val="auto"/>
          <w:sz w:val="22"/>
          <w:szCs w:val="22"/>
        </w:rPr>
        <w:t>A wide variety of health care is delivered in primary and community care settings. Health care–associated infections arise across a wide range of clinical conditions and can affect patients of all ages. Health care workers, family members and carers are also at risk of acquiring infections when caring for patients.</w:t>
      </w:r>
    </w:p>
    <w:p w14:paraId="6A4C82F0" w14:textId="77777777" w:rsidR="00B643BD" w:rsidRPr="005F31F5" w:rsidRDefault="00B643BD" w:rsidP="00F610E8">
      <w:pPr>
        <w:spacing w:before="120" w:after="0"/>
        <w:rPr>
          <w:color w:val="auto"/>
          <w:sz w:val="22"/>
          <w:szCs w:val="22"/>
        </w:rPr>
      </w:pPr>
      <w:r w:rsidRPr="005F31F5">
        <w:rPr>
          <w:color w:val="auto"/>
          <w:sz w:val="22"/>
          <w:szCs w:val="22"/>
        </w:rPr>
        <w:t>It is important for you to provide a safe environment for staff, patients and other people in the practice. To ensure this, you should equip all team members with the requisite knowledge, skills and attitudes required for good infection control practices.</w:t>
      </w:r>
    </w:p>
    <w:p w14:paraId="144827E0" w14:textId="77777777" w:rsidR="00B643BD" w:rsidRPr="00C447AF" w:rsidRDefault="00B643BD" w:rsidP="00A77040">
      <w:pPr>
        <w:pStyle w:val="HHLBodyText"/>
        <w:spacing w:before="240"/>
        <w:rPr>
          <w:i/>
        </w:rPr>
      </w:pPr>
      <w:r w:rsidRPr="00C447AF">
        <w:rPr>
          <w:i/>
        </w:rPr>
        <w:t>Infection control policy</w:t>
      </w:r>
    </w:p>
    <w:p w14:paraId="27A7A047" w14:textId="05032A09" w:rsidR="00B643BD" w:rsidRPr="00F610E8" w:rsidRDefault="00B643BD" w:rsidP="00F610E8">
      <w:pPr>
        <w:spacing w:before="120" w:after="0"/>
        <w:rPr>
          <w:color w:val="auto"/>
          <w:sz w:val="22"/>
          <w:szCs w:val="22"/>
        </w:rPr>
      </w:pPr>
      <w:r w:rsidRPr="00F610E8">
        <w:rPr>
          <w:color w:val="auto"/>
          <w:sz w:val="22"/>
          <w:szCs w:val="22"/>
        </w:rPr>
        <w:t>You are required to document how you are going to manage infection control in your practice. Your infection control policies and procedures must align with the AS/NZS 4815:2006 Standard.</w:t>
      </w:r>
    </w:p>
    <w:p w14:paraId="4F3D4E66" w14:textId="77777777" w:rsidR="00B643BD" w:rsidRPr="00C447AF" w:rsidRDefault="00B643BD" w:rsidP="003F60D0">
      <w:pPr>
        <w:pStyle w:val="HHLBodyText"/>
        <w:spacing w:before="240"/>
        <w:rPr>
          <w:i/>
        </w:rPr>
      </w:pPr>
      <w:r w:rsidRPr="00C447AF">
        <w:rPr>
          <w:i/>
        </w:rPr>
        <w:lastRenderedPageBreak/>
        <w:t>Sterilisation processes</w:t>
      </w:r>
    </w:p>
    <w:p w14:paraId="7DF588DA" w14:textId="48F288C1" w:rsidR="00B643BD" w:rsidRPr="00113F6A" w:rsidRDefault="00B643BD" w:rsidP="00113F6A">
      <w:pPr>
        <w:spacing w:before="120" w:after="0"/>
        <w:rPr>
          <w:rFonts w:cs="Arial"/>
          <w:color w:val="auto"/>
          <w:sz w:val="22"/>
          <w:szCs w:val="22"/>
        </w:rPr>
      </w:pPr>
      <w:r w:rsidRPr="00113F6A">
        <w:rPr>
          <w:rFonts w:cs="Arial"/>
          <w:color w:val="auto"/>
          <w:sz w:val="22"/>
          <w:szCs w:val="22"/>
        </w:rPr>
        <w:t>Validation of the steriliser is important. You will need to be able to demonstrate how you monitor the effectiveness of each sterilisation cycle (</w:t>
      </w:r>
      <w:r w:rsidR="002D3694" w:rsidRPr="00113F6A">
        <w:rPr>
          <w:rFonts w:cs="Arial"/>
          <w:color w:val="auto"/>
          <w:sz w:val="22"/>
          <w:szCs w:val="22"/>
        </w:rPr>
        <w:t>e.g.</w:t>
      </w:r>
      <w:r w:rsidRPr="00113F6A">
        <w:rPr>
          <w:rFonts w:cs="Arial"/>
          <w:color w:val="auto"/>
          <w:sz w:val="22"/>
          <w:szCs w:val="22"/>
        </w:rPr>
        <w:t xml:space="preserve"> printouts of every cycle, chemical indicator for every load, data logged directly to your computer). </w:t>
      </w:r>
    </w:p>
    <w:p w14:paraId="4F6D0848" w14:textId="77777777" w:rsidR="00B643BD" w:rsidRPr="00113F6A" w:rsidRDefault="00B643BD" w:rsidP="003B2EEE">
      <w:pPr>
        <w:spacing w:before="120"/>
        <w:rPr>
          <w:rFonts w:cs="Arial"/>
          <w:color w:val="auto"/>
          <w:sz w:val="22"/>
          <w:szCs w:val="22"/>
        </w:rPr>
      </w:pPr>
      <w:r w:rsidRPr="00113F6A">
        <w:rPr>
          <w:rFonts w:cs="Arial"/>
          <w:color w:val="auto"/>
          <w:sz w:val="22"/>
          <w:szCs w:val="22"/>
        </w:rPr>
        <w:t xml:space="preserve">Calibration on site should be done (and documented): </w:t>
      </w:r>
    </w:p>
    <w:p w14:paraId="24E39EE1" w14:textId="18E98B8C" w:rsidR="00B643BD" w:rsidRPr="00EF4D4B" w:rsidRDefault="003B2EEE" w:rsidP="00F2122C">
      <w:pPr>
        <w:pStyle w:val="Bullets"/>
        <w:spacing w:after="60"/>
        <w:ind w:left="567" w:hanging="567"/>
        <w:rPr>
          <w:rFonts w:ascii="Arial" w:hAnsi="Arial" w:cs="Arial"/>
        </w:rPr>
      </w:pPr>
      <w:r>
        <w:rPr>
          <w:rFonts w:ascii="Arial" w:hAnsi="Arial" w:cs="Arial"/>
        </w:rPr>
        <w:t>W</w:t>
      </w:r>
      <w:r w:rsidR="00B643BD" w:rsidRPr="00EF4D4B">
        <w:rPr>
          <w:rFonts w:ascii="Arial" w:hAnsi="Arial" w:cs="Arial"/>
        </w:rPr>
        <w:t>hen steriliser is first installed</w:t>
      </w:r>
    </w:p>
    <w:p w14:paraId="4B52E6B8" w14:textId="529B48E8" w:rsidR="00B643BD" w:rsidRPr="00EF4D4B" w:rsidRDefault="003B2EEE" w:rsidP="00F2122C">
      <w:pPr>
        <w:pStyle w:val="Bullets"/>
        <w:spacing w:after="60"/>
        <w:ind w:left="567" w:hanging="567"/>
        <w:rPr>
          <w:rFonts w:ascii="Arial" w:hAnsi="Arial" w:cs="Arial"/>
        </w:rPr>
      </w:pPr>
      <w:r>
        <w:rPr>
          <w:rFonts w:ascii="Arial" w:hAnsi="Arial" w:cs="Arial"/>
        </w:rPr>
        <w:t>A</w:t>
      </w:r>
      <w:r w:rsidR="00B643BD" w:rsidRPr="00EF4D4B">
        <w:rPr>
          <w:rFonts w:ascii="Arial" w:hAnsi="Arial" w:cs="Arial"/>
        </w:rPr>
        <w:t>nnually</w:t>
      </w:r>
    </w:p>
    <w:p w14:paraId="4669F789" w14:textId="2A48DE53" w:rsidR="00B643BD" w:rsidRPr="00EF4D4B" w:rsidRDefault="003B2EEE" w:rsidP="00F2122C">
      <w:pPr>
        <w:pStyle w:val="Bullets"/>
        <w:spacing w:after="60"/>
        <w:ind w:left="567" w:hanging="567"/>
        <w:rPr>
          <w:rFonts w:ascii="Arial" w:hAnsi="Arial" w:cs="Arial"/>
        </w:rPr>
      </w:pPr>
      <w:r>
        <w:rPr>
          <w:rFonts w:ascii="Arial" w:hAnsi="Arial" w:cs="Arial"/>
        </w:rPr>
        <w:t>W</w:t>
      </w:r>
      <w:r w:rsidR="00B643BD" w:rsidRPr="00EF4D4B">
        <w:rPr>
          <w:rFonts w:ascii="Arial" w:hAnsi="Arial" w:cs="Arial"/>
        </w:rPr>
        <w:t>hen serviced or repaired</w:t>
      </w:r>
    </w:p>
    <w:p w14:paraId="6A4A22AD" w14:textId="77777777" w:rsidR="00B643BD" w:rsidRPr="00113F6A" w:rsidRDefault="00B643BD" w:rsidP="003B2EEE">
      <w:pPr>
        <w:spacing w:before="120"/>
        <w:rPr>
          <w:rFonts w:cs="Arial"/>
          <w:color w:val="auto"/>
          <w:sz w:val="22"/>
          <w:szCs w:val="22"/>
        </w:rPr>
      </w:pPr>
      <w:r w:rsidRPr="00113F6A">
        <w:rPr>
          <w:rFonts w:cs="Arial"/>
          <w:color w:val="auto"/>
          <w:sz w:val="22"/>
          <w:szCs w:val="22"/>
        </w:rPr>
        <w:t>For your steriliser (and/or the one used if you use an off-site service) you need a record of annual and current (within the last 12 months):</w:t>
      </w:r>
    </w:p>
    <w:p w14:paraId="392133DE" w14:textId="4885DB29" w:rsidR="00B643BD" w:rsidRPr="00EF4D4B" w:rsidRDefault="003B2EEE" w:rsidP="00F2122C">
      <w:pPr>
        <w:pStyle w:val="Bullets"/>
        <w:spacing w:after="60"/>
        <w:ind w:left="567" w:hanging="567"/>
        <w:rPr>
          <w:rFonts w:ascii="Arial" w:hAnsi="Arial" w:cs="Arial"/>
        </w:rPr>
      </w:pPr>
      <w:r>
        <w:rPr>
          <w:rFonts w:ascii="Arial" w:hAnsi="Arial" w:cs="Arial"/>
        </w:rPr>
        <w:t>S</w:t>
      </w:r>
      <w:r w:rsidR="00B643BD" w:rsidRPr="00EF4D4B">
        <w:rPr>
          <w:rFonts w:ascii="Arial" w:hAnsi="Arial" w:cs="Arial"/>
        </w:rPr>
        <w:t>ervicing</w:t>
      </w:r>
    </w:p>
    <w:p w14:paraId="49CFB080" w14:textId="523598E6" w:rsidR="00B643BD" w:rsidRPr="00EF4D4B" w:rsidRDefault="003B2EEE" w:rsidP="00F2122C">
      <w:pPr>
        <w:pStyle w:val="Bullets"/>
        <w:spacing w:after="60"/>
        <w:ind w:left="567" w:hanging="567"/>
        <w:rPr>
          <w:rFonts w:ascii="Arial" w:hAnsi="Arial" w:cs="Arial"/>
        </w:rPr>
      </w:pPr>
      <w:r>
        <w:rPr>
          <w:rFonts w:ascii="Arial" w:hAnsi="Arial" w:cs="Arial"/>
        </w:rPr>
        <w:t>C</w:t>
      </w:r>
      <w:r w:rsidR="00B643BD" w:rsidRPr="00EF4D4B">
        <w:rPr>
          <w:rFonts w:ascii="Arial" w:hAnsi="Arial" w:cs="Arial"/>
        </w:rPr>
        <w:t>alibration</w:t>
      </w:r>
    </w:p>
    <w:p w14:paraId="3FB30B12" w14:textId="6D3783B2" w:rsidR="00B643BD" w:rsidRPr="00EF4D4B" w:rsidRDefault="003B2EEE" w:rsidP="00F2122C">
      <w:pPr>
        <w:pStyle w:val="Bullets"/>
        <w:spacing w:after="60"/>
        <w:ind w:left="567" w:hanging="567"/>
        <w:rPr>
          <w:rFonts w:ascii="Arial" w:hAnsi="Arial" w:cs="Arial"/>
        </w:rPr>
      </w:pPr>
      <w:r>
        <w:rPr>
          <w:rFonts w:ascii="Arial" w:hAnsi="Arial" w:cs="Arial"/>
        </w:rPr>
        <w:t>V</w:t>
      </w:r>
      <w:r w:rsidR="00B643BD" w:rsidRPr="00EF4D4B">
        <w:rPr>
          <w:rFonts w:ascii="Arial" w:hAnsi="Arial" w:cs="Arial"/>
        </w:rPr>
        <w:t>alidation</w:t>
      </w:r>
    </w:p>
    <w:p w14:paraId="52BC92F2" w14:textId="77777777" w:rsidR="00B643BD" w:rsidRPr="00113F6A" w:rsidRDefault="00B643BD" w:rsidP="00113F6A">
      <w:pPr>
        <w:spacing w:before="120" w:after="0"/>
        <w:rPr>
          <w:rFonts w:cs="Arial"/>
          <w:color w:val="auto"/>
          <w:sz w:val="22"/>
          <w:szCs w:val="22"/>
        </w:rPr>
      </w:pPr>
      <w:r w:rsidRPr="00113F6A">
        <w:rPr>
          <w:rFonts w:cs="Arial"/>
          <w:color w:val="auto"/>
          <w:sz w:val="22"/>
          <w:szCs w:val="22"/>
        </w:rPr>
        <w:t>You will also need to provide these if you use an off-site service.</w:t>
      </w:r>
    </w:p>
    <w:p w14:paraId="7FFE8208" w14:textId="77777777" w:rsidR="00B643BD" w:rsidRPr="00DD24D5" w:rsidRDefault="00B643BD" w:rsidP="00A96555"/>
    <w:p w14:paraId="0CF0AF6C" w14:textId="77777777" w:rsidR="008E4E25" w:rsidRDefault="00A96555" w:rsidP="00D87610">
      <w:pPr>
        <w:spacing w:before="240" w:after="120"/>
        <w:rPr>
          <w:b/>
          <w:color w:val="auto"/>
          <w:sz w:val="22"/>
          <w:szCs w:val="22"/>
        </w:rPr>
      </w:pPr>
      <w:r w:rsidRPr="00A81435">
        <w:rPr>
          <w:b/>
          <w:color w:val="auto"/>
          <w:sz w:val="22"/>
          <w:szCs w:val="22"/>
        </w:rPr>
        <w:t>Resources</w:t>
      </w:r>
    </w:p>
    <w:p w14:paraId="27BB47F5" w14:textId="6EC68BDC" w:rsidR="008E4E25" w:rsidRPr="00B84834" w:rsidRDefault="00CF1416" w:rsidP="0024030C">
      <w:pPr>
        <w:pStyle w:val="Resourcelist"/>
        <w:spacing w:after="120"/>
        <w:rPr>
          <w:rStyle w:val="Hyperlink"/>
          <w:rFonts w:ascii="Arial" w:hAnsi="Arial" w:cs="Arial"/>
          <w:color w:val="0000FF"/>
        </w:rPr>
      </w:pPr>
      <w:hyperlink r:id="rId197" w:history="1">
        <w:r w:rsidR="008E4E25" w:rsidRPr="00B84834">
          <w:rPr>
            <w:rStyle w:val="Hyperlink"/>
            <w:rFonts w:ascii="Arial" w:hAnsi="Arial" w:cs="Arial"/>
            <w:color w:val="0000FF"/>
          </w:rPr>
          <w:t xml:space="preserve">National Institute for Health and Care </w:t>
        </w:r>
        <w:r w:rsidR="00ED3B10" w:rsidRPr="00B84834">
          <w:rPr>
            <w:rStyle w:val="Hyperlink"/>
            <w:rFonts w:ascii="Arial" w:hAnsi="Arial" w:cs="Arial"/>
            <w:color w:val="0000FF"/>
          </w:rPr>
          <w:t>Excellence</w:t>
        </w:r>
        <w:r w:rsidR="008E4E25" w:rsidRPr="00B84834">
          <w:rPr>
            <w:rStyle w:val="Hyperlink"/>
            <w:rFonts w:ascii="Arial" w:hAnsi="Arial" w:cs="Arial"/>
            <w:color w:val="0000FF"/>
          </w:rPr>
          <w:t>, Healthcare-associated infections: prevention and control in primary and community care</w:t>
        </w:r>
      </w:hyperlink>
    </w:p>
    <w:p w14:paraId="577FEB86" w14:textId="1142B34B" w:rsidR="003B2EEE" w:rsidRPr="00B84834" w:rsidRDefault="00CF1416" w:rsidP="0024030C">
      <w:pPr>
        <w:pStyle w:val="Resourcelist"/>
        <w:spacing w:after="120"/>
        <w:rPr>
          <w:rStyle w:val="Hyperlink"/>
          <w:rFonts w:ascii="Arial" w:hAnsi="Arial" w:cs="Arial"/>
          <w:color w:val="0000FF"/>
        </w:rPr>
      </w:pPr>
      <w:hyperlink r:id="rId198" w:history="1">
        <w:r w:rsidR="003B2EEE" w:rsidRPr="00B84834">
          <w:rPr>
            <w:rStyle w:val="Hyperlink"/>
            <w:rFonts w:ascii="Arial" w:hAnsi="Arial" w:cs="Arial"/>
            <w:color w:val="0000FF"/>
          </w:rPr>
          <w:t>Standards New Zealand: AS/NZS 4815:2006 Office-based health care facilities— Reprocessing of reusable medical and surgical instruments and equipment and maintenance of the associated environment</w:t>
        </w:r>
      </w:hyperlink>
    </w:p>
    <w:p w14:paraId="5A36A023" w14:textId="0CFCC0DF" w:rsidR="00D87610" w:rsidRPr="00B84834" w:rsidRDefault="00CF1416" w:rsidP="0024030C">
      <w:pPr>
        <w:pStyle w:val="Resourcelist"/>
        <w:spacing w:after="120"/>
        <w:rPr>
          <w:rStyle w:val="Hyperlink"/>
          <w:rFonts w:ascii="Arial" w:hAnsi="Arial" w:cs="Arial"/>
          <w:color w:val="0000FF"/>
        </w:rPr>
      </w:pPr>
      <w:hyperlink r:id="rId199" w:history="1">
        <w:r w:rsidR="003B2EEE" w:rsidRPr="00B84834">
          <w:rPr>
            <w:rStyle w:val="Hyperlink"/>
            <w:rFonts w:ascii="Arial" w:hAnsi="Arial" w:cs="Arial"/>
            <w:color w:val="0000FF"/>
          </w:rPr>
          <w:t xml:space="preserve">Standards New Zealand: </w:t>
        </w:r>
        <w:r w:rsidR="00D87610" w:rsidRPr="00B84834">
          <w:rPr>
            <w:rStyle w:val="Hyperlink"/>
            <w:rFonts w:ascii="Arial" w:hAnsi="Arial" w:cs="Arial"/>
            <w:color w:val="0000FF"/>
          </w:rPr>
          <w:t>NZS 4304:2002 Management of Healthcare Waste</w:t>
        </w:r>
      </w:hyperlink>
    </w:p>
    <w:p w14:paraId="5D39706A" w14:textId="62966552" w:rsidR="00B643BD" w:rsidRPr="00B84834" w:rsidRDefault="00CF1416" w:rsidP="0024030C">
      <w:pPr>
        <w:pStyle w:val="Resourcelist"/>
        <w:spacing w:after="120"/>
        <w:rPr>
          <w:rStyle w:val="Hyperlink"/>
          <w:rFonts w:ascii="Arial" w:hAnsi="Arial" w:cs="Arial"/>
          <w:color w:val="0000FF"/>
        </w:rPr>
      </w:pPr>
      <w:hyperlink r:id="rId200" w:history="1">
        <w:r w:rsidR="00D87610" w:rsidRPr="00B84834">
          <w:rPr>
            <w:rStyle w:val="Hyperlink"/>
            <w:rFonts w:ascii="Arial" w:hAnsi="Arial" w:cs="Arial"/>
            <w:color w:val="0000FF"/>
          </w:rPr>
          <w:t xml:space="preserve">bpacnz: Exposure to body fluids: keeping the primary healthcare </w:t>
        </w:r>
        <w:r w:rsidR="00D87610" w:rsidRPr="00B84834">
          <w:rPr>
            <w:rStyle w:val="Hyperlink"/>
            <w:rFonts w:ascii="Arial" w:hAnsi="Arial" w:cs="Arial"/>
            <w:color w:val="0000FF"/>
          </w:rPr>
          <w:br/>
          <w:t>team safe</w:t>
        </w:r>
      </w:hyperlink>
    </w:p>
    <w:p w14:paraId="7CDC8F83" w14:textId="6807150C" w:rsidR="00B643BD" w:rsidRPr="00B84834" w:rsidRDefault="00CF1416" w:rsidP="0024030C">
      <w:pPr>
        <w:pStyle w:val="Resourcelist"/>
        <w:spacing w:after="120"/>
        <w:rPr>
          <w:rStyle w:val="Hyperlink"/>
          <w:rFonts w:ascii="Arial" w:hAnsi="Arial" w:cs="Arial"/>
          <w:color w:val="0000FF"/>
        </w:rPr>
      </w:pPr>
      <w:hyperlink r:id="rId201" w:history="1">
        <w:r w:rsidR="00FD3D53" w:rsidRPr="00B84834">
          <w:rPr>
            <w:rStyle w:val="Hyperlink"/>
            <w:rFonts w:ascii="Arial" w:hAnsi="Arial" w:cs="Arial"/>
            <w:color w:val="0000FF"/>
          </w:rPr>
          <w:t xml:space="preserve">HQSC: </w:t>
        </w:r>
        <w:r w:rsidR="00B643BD" w:rsidRPr="00B84834">
          <w:rPr>
            <w:rStyle w:val="Hyperlink"/>
            <w:rFonts w:ascii="Arial" w:hAnsi="Arial" w:cs="Arial"/>
            <w:color w:val="0000FF"/>
          </w:rPr>
          <w:t>Hand Hygiene</w:t>
        </w:r>
      </w:hyperlink>
      <w:r w:rsidR="00B643BD" w:rsidRPr="00B84834">
        <w:rPr>
          <w:rStyle w:val="Hyperlink"/>
          <w:rFonts w:ascii="Arial" w:hAnsi="Arial" w:cs="Arial"/>
          <w:color w:val="0000FF"/>
        </w:rPr>
        <w:t xml:space="preserve"> </w:t>
      </w:r>
    </w:p>
    <w:p w14:paraId="7CAA3DB8" w14:textId="7CC4EBA1" w:rsidR="00D87610" w:rsidRPr="00B84834" w:rsidRDefault="00CF1416" w:rsidP="0024030C">
      <w:pPr>
        <w:pStyle w:val="Resourcelist"/>
        <w:spacing w:after="120"/>
        <w:rPr>
          <w:rStyle w:val="Hyperlink"/>
          <w:rFonts w:ascii="Arial" w:hAnsi="Arial" w:cs="Arial"/>
          <w:color w:val="0000FF"/>
        </w:rPr>
      </w:pPr>
      <w:hyperlink r:id="rId202" w:history="1">
        <w:r w:rsidR="00B643BD" w:rsidRPr="00B84834">
          <w:rPr>
            <w:rStyle w:val="Hyperlink"/>
            <w:rFonts w:ascii="Arial" w:hAnsi="Arial" w:cs="Arial"/>
            <w:color w:val="0000FF"/>
          </w:rPr>
          <w:t xml:space="preserve">bpacnz: Antimicrobial resistance in New Zealand: </w:t>
        </w:r>
        <w:r w:rsidR="00FD3D53" w:rsidRPr="00B84834">
          <w:rPr>
            <w:rStyle w:val="Hyperlink"/>
            <w:rFonts w:ascii="Arial" w:hAnsi="Arial" w:cs="Arial"/>
            <w:color w:val="0000FF"/>
          </w:rPr>
          <w:t>W</w:t>
        </w:r>
        <w:r w:rsidR="00B643BD" w:rsidRPr="00B84834">
          <w:rPr>
            <w:rStyle w:val="Hyperlink"/>
            <w:rFonts w:ascii="Arial" w:hAnsi="Arial" w:cs="Arial"/>
            <w:color w:val="0000FF"/>
          </w:rPr>
          <w:t>hat is my role in primary care?</w:t>
        </w:r>
      </w:hyperlink>
    </w:p>
    <w:p w14:paraId="5D06A61F" w14:textId="46E4EBCF" w:rsidR="00D87610" w:rsidRPr="00DD24D5" w:rsidRDefault="00D87610" w:rsidP="00D87610">
      <w:pPr>
        <w:spacing w:before="240" w:after="120"/>
      </w:pPr>
    </w:p>
    <w:p w14:paraId="266F92AC" w14:textId="08527C75" w:rsidR="00EA041A" w:rsidRDefault="00EA041A">
      <w:pPr>
        <w:spacing w:after="0"/>
      </w:pPr>
      <w:r>
        <w:br w:type="page"/>
      </w:r>
    </w:p>
    <w:p w14:paraId="5F7D38FE" w14:textId="620053B8" w:rsidR="00DE3B66" w:rsidRDefault="00DE3B66" w:rsidP="00254228">
      <w:pPr>
        <w:spacing w:after="0"/>
      </w:pPr>
    </w:p>
    <w:p w14:paraId="4198A5D1" w14:textId="181E12F4" w:rsidR="00EA041A" w:rsidRDefault="00EA041A" w:rsidP="00254228">
      <w:pPr>
        <w:spacing w:after="0"/>
      </w:pPr>
    </w:p>
    <w:p w14:paraId="54C9CDD1" w14:textId="5CE9A716" w:rsidR="00EA041A" w:rsidRDefault="00EA041A" w:rsidP="00254228">
      <w:pPr>
        <w:spacing w:after="0"/>
      </w:pPr>
    </w:p>
    <w:p w14:paraId="0ABBE0DF" w14:textId="64AE7160" w:rsidR="00EA041A" w:rsidRDefault="00EA041A" w:rsidP="00254228">
      <w:pPr>
        <w:spacing w:after="0"/>
      </w:pPr>
    </w:p>
    <w:p w14:paraId="134049B8" w14:textId="2458C328" w:rsidR="00EA041A" w:rsidRDefault="00EA041A" w:rsidP="00254228">
      <w:pPr>
        <w:spacing w:after="0"/>
      </w:pPr>
    </w:p>
    <w:p w14:paraId="7C43888E" w14:textId="45DAA42D" w:rsidR="00EA041A" w:rsidRDefault="00EA041A" w:rsidP="00254228">
      <w:pPr>
        <w:spacing w:after="0"/>
      </w:pPr>
    </w:p>
    <w:p w14:paraId="6FD91E19" w14:textId="7764976B" w:rsidR="00EA041A" w:rsidRDefault="00EA041A" w:rsidP="00254228">
      <w:pPr>
        <w:spacing w:after="0"/>
      </w:pPr>
    </w:p>
    <w:p w14:paraId="6911EB44" w14:textId="6F7B723B" w:rsidR="00EA041A" w:rsidRDefault="00EA041A" w:rsidP="00254228">
      <w:pPr>
        <w:spacing w:after="0"/>
      </w:pPr>
    </w:p>
    <w:p w14:paraId="6DDA3C2A" w14:textId="6843057A" w:rsidR="00EA041A" w:rsidRDefault="00EA041A" w:rsidP="00254228">
      <w:pPr>
        <w:spacing w:after="0"/>
      </w:pPr>
    </w:p>
    <w:p w14:paraId="6E35FAA6" w14:textId="27DDB0A3" w:rsidR="00EA041A" w:rsidRDefault="00EA041A" w:rsidP="00254228">
      <w:pPr>
        <w:spacing w:after="0"/>
      </w:pPr>
    </w:p>
    <w:p w14:paraId="7ECE1A47" w14:textId="43D3176B" w:rsidR="00EA041A" w:rsidRDefault="00EA041A" w:rsidP="00254228">
      <w:pPr>
        <w:spacing w:after="0"/>
      </w:pPr>
    </w:p>
    <w:p w14:paraId="14364701" w14:textId="014EB0C2" w:rsidR="00EA041A" w:rsidRDefault="00EA041A" w:rsidP="00254228">
      <w:pPr>
        <w:spacing w:after="0"/>
      </w:pPr>
    </w:p>
    <w:p w14:paraId="42DFA937" w14:textId="196B794D" w:rsidR="00EA041A" w:rsidRDefault="00EA041A" w:rsidP="00254228">
      <w:pPr>
        <w:spacing w:after="0"/>
      </w:pPr>
    </w:p>
    <w:p w14:paraId="4B194781" w14:textId="23D8F31C" w:rsidR="00EA041A" w:rsidRDefault="00EA041A" w:rsidP="00254228">
      <w:pPr>
        <w:spacing w:after="0"/>
      </w:pPr>
    </w:p>
    <w:p w14:paraId="54F34B71" w14:textId="14A218D4" w:rsidR="00EA041A" w:rsidRDefault="00EA041A" w:rsidP="00254228">
      <w:pPr>
        <w:spacing w:after="0"/>
      </w:pPr>
    </w:p>
    <w:p w14:paraId="299F2A46" w14:textId="5A258E2E" w:rsidR="00EA041A" w:rsidRDefault="00EA041A" w:rsidP="00254228">
      <w:pPr>
        <w:spacing w:after="0"/>
      </w:pPr>
    </w:p>
    <w:p w14:paraId="6DCC50E0" w14:textId="52479D3B" w:rsidR="00EA041A" w:rsidRDefault="00EA041A" w:rsidP="00254228">
      <w:pPr>
        <w:spacing w:after="0"/>
      </w:pPr>
    </w:p>
    <w:p w14:paraId="2067C404" w14:textId="77777777" w:rsidR="00EA041A" w:rsidRDefault="00EA041A" w:rsidP="00254228">
      <w:pPr>
        <w:spacing w:after="0"/>
      </w:pPr>
    </w:p>
    <w:p w14:paraId="2BD26005" w14:textId="77777777" w:rsidR="00DE3B66" w:rsidRDefault="00DE3B66" w:rsidP="00556948">
      <w:pPr>
        <w:pStyle w:val="Heading1"/>
      </w:pPr>
    </w:p>
    <w:p w14:paraId="49701B05" w14:textId="77777777" w:rsidR="00DE3B66" w:rsidRDefault="00DE3B66" w:rsidP="00556948">
      <w:pPr>
        <w:pStyle w:val="Heading1"/>
      </w:pPr>
    </w:p>
    <w:p w14:paraId="03B59E3F" w14:textId="77777777" w:rsidR="00DE3B66" w:rsidRDefault="00DE3B66" w:rsidP="00556948">
      <w:pPr>
        <w:pStyle w:val="Heading1"/>
      </w:pPr>
    </w:p>
    <w:p w14:paraId="0EE1B79C" w14:textId="6CC95B04" w:rsidR="00556948" w:rsidRDefault="00556948" w:rsidP="00556948">
      <w:pPr>
        <w:pStyle w:val="Heading1"/>
        <w:rPr>
          <w:b w:val="0"/>
        </w:rPr>
      </w:pPr>
      <w:bookmarkStart w:id="73" w:name="_Toc6998690"/>
      <w:r w:rsidRPr="000C6773">
        <w:t>Section</w:t>
      </w:r>
      <w:r w:rsidRPr="0055408F">
        <w:t xml:space="preserve"> </w:t>
      </w:r>
      <w:r>
        <w:t xml:space="preserve">12: </w:t>
      </w:r>
      <w:r w:rsidRPr="00553D5D">
        <w:rPr>
          <w:b w:val="0"/>
        </w:rPr>
        <w:t xml:space="preserve">Tikanga </w:t>
      </w:r>
      <w:r>
        <w:rPr>
          <w:b w:val="0"/>
        </w:rPr>
        <w:t>ohotata</w:t>
      </w:r>
      <w:r w:rsidRPr="00E6494D">
        <w:rPr>
          <w:b w:val="0"/>
        </w:rPr>
        <w:t xml:space="preserve"> |</w:t>
      </w:r>
      <w:r w:rsidRPr="0055408F">
        <w:rPr>
          <w:b w:val="0"/>
        </w:rPr>
        <w:t xml:space="preserve"> </w:t>
      </w:r>
      <w:r>
        <w:rPr>
          <w:b w:val="0"/>
        </w:rPr>
        <w:t>Risk management</w:t>
      </w:r>
      <w:bookmarkEnd w:id="73"/>
    </w:p>
    <w:p w14:paraId="73358DD7" w14:textId="4299DC32" w:rsidR="00553D5D" w:rsidRDefault="00553D5D" w:rsidP="00553D5D">
      <w:pPr>
        <w:pStyle w:val="Heading1"/>
        <w:rPr>
          <w:b w:val="0"/>
        </w:rPr>
      </w:pPr>
    </w:p>
    <w:p w14:paraId="23A148A7" w14:textId="77777777" w:rsidR="00553D5D" w:rsidRDefault="00553D5D">
      <w:pPr>
        <w:spacing w:after="0"/>
        <w:rPr>
          <w:color w:val="EE7624"/>
          <w:sz w:val="56"/>
          <w:szCs w:val="56"/>
        </w:rPr>
      </w:pPr>
      <w:r>
        <w:rPr>
          <w:b/>
        </w:rPr>
        <w:br w:type="page"/>
      </w:r>
    </w:p>
    <w:p w14:paraId="11E512C5" w14:textId="1410B9FC" w:rsidR="00DF6538" w:rsidRPr="00C55F31" w:rsidRDefault="009C798E" w:rsidP="00F2122C">
      <w:pPr>
        <w:pStyle w:val="HHLSubHeading"/>
        <w:numPr>
          <w:ilvl w:val="0"/>
          <w:numId w:val="0"/>
        </w:numPr>
        <w:tabs>
          <w:tab w:val="left" w:pos="1560"/>
        </w:tabs>
      </w:pPr>
      <w:bookmarkStart w:id="74" w:name="_Toc6998691"/>
      <w:r w:rsidRPr="00C55F31">
        <w:lastRenderedPageBreak/>
        <w:t>Indicator 2</w:t>
      </w:r>
      <w:r w:rsidR="009E3521">
        <w:t>7</w:t>
      </w:r>
      <w:r w:rsidRPr="00C55F31">
        <w:t>.</w:t>
      </w:r>
      <w:r w:rsidR="00F2122C">
        <w:tab/>
      </w:r>
      <w:r w:rsidR="000D32C3" w:rsidRPr="00C55F31">
        <w:t>Adverse</w:t>
      </w:r>
      <w:r w:rsidR="00DF6538" w:rsidRPr="00C55F31">
        <w:t xml:space="preserve"> events</w:t>
      </w:r>
      <w:bookmarkEnd w:id="74"/>
    </w:p>
    <w:p w14:paraId="10D2AE97" w14:textId="66CE54C5" w:rsidR="009C798E" w:rsidRPr="00DF6538" w:rsidRDefault="009C798E" w:rsidP="00DF6538">
      <w:pPr>
        <w:pStyle w:val="HHLBodyText"/>
        <w:rPr>
          <w:b/>
        </w:rPr>
      </w:pPr>
      <w:r w:rsidRPr="00DF6538">
        <w:rPr>
          <w:b/>
        </w:rPr>
        <w:t xml:space="preserve">Our practice </w:t>
      </w:r>
      <w:r w:rsidR="00B66A7E" w:rsidRPr="00DF6538">
        <w:rPr>
          <w:b/>
        </w:rPr>
        <w:t>has an active proce</w:t>
      </w:r>
      <w:r w:rsidR="00057F88">
        <w:rPr>
          <w:b/>
        </w:rPr>
        <w:t>dure</w:t>
      </w:r>
      <w:r w:rsidR="00B66A7E" w:rsidRPr="00DF6538">
        <w:rPr>
          <w:b/>
        </w:rPr>
        <w:t xml:space="preserve"> that records </w:t>
      </w:r>
      <w:r w:rsidR="00057F88">
        <w:rPr>
          <w:b/>
        </w:rPr>
        <w:t xml:space="preserve">and responds to </w:t>
      </w:r>
      <w:r w:rsidR="00B66A7E" w:rsidRPr="00DF6538">
        <w:rPr>
          <w:b/>
        </w:rPr>
        <w:t>adverse events, incidents and near-misses.</w:t>
      </w:r>
    </w:p>
    <w:tbl>
      <w:tblPr>
        <w:tblStyle w:val="TableGrid1"/>
        <w:tblW w:w="0" w:type="auto"/>
        <w:tblLook w:val="04A0" w:firstRow="1" w:lastRow="0" w:firstColumn="1" w:lastColumn="0" w:noHBand="0" w:noVBand="1"/>
      </w:tblPr>
      <w:tblGrid>
        <w:gridCol w:w="1151"/>
        <w:gridCol w:w="4538"/>
        <w:gridCol w:w="4053"/>
      </w:tblGrid>
      <w:tr w:rsidR="009C798E" w:rsidRPr="00A81435" w14:paraId="5AB90166" w14:textId="77777777" w:rsidTr="00185102">
        <w:tc>
          <w:tcPr>
            <w:tcW w:w="1153" w:type="dxa"/>
            <w:shd w:val="clear" w:color="auto" w:fill="FBD4B4" w:themeFill="accent6" w:themeFillTint="66"/>
          </w:tcPr>
          <w:p w14:paraId="7D808E13" w14:textId="77777777" w:rsidR="009C798E" w:rsidRPr="00A81435" w:rsidRDefault="009C798E" w:rsidP="0018510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47D76A16" w14:textId="77777777" w:rsidR="009C798E" w:rsidRPr="00A81435" w:rsidRDefault="009C798E" w:rsidP="0018510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2E0D9926" w14:textId="3E41D915" w:rsidR="009C798E" w:rsidRPr="00A81435" w:rsidRDefault="009C798E" w:rsidP="00185102">
            <w:pPr>
              <w:spacing w:before="120" w:after="120"/>
              <w:rPr>
                <w:b/>
                <w:color w:val="auto"/>
                <w:sz w:val="22"/>
                <w:szCs w:val="22"/>
              </w:rPr>
            </w:pPr>
            <w:r w:rsidRPr="00A81435">
              <w:rPr>
                <w:b/>
                <w:color w:val="auto"/>
                <w:sz w:val="22"/>
                <w:szCs w:val="22"/>
              </w:rPr>
              <w:t>Required evidence</w:t>
            </w:r>
          </w:p>
        </w:tc>
      </w:tr>
      <w:tr w:rsidR="009C798E" w:rsidRPr="00A81435" w14:paraId="40BB8789" w14:textId="77777777" w:rsidTr="00185102">
        <w:tc>
          <w:tcPr>
            <w:tcW w:w="1153" w:type="dxa"/>
          </w:tcPr>
          <w:p w14:paraId="0677818C" w14:textId="073F52B9" w:rsidR="009C798E" w:rsidRPr="00A81435" w:rsidRDefault="009C798E" w:rsidP="00185102">
            <w:pPr>
              <w:spacing w:before="60"/>
              <w:rPr>
                <w:color w:val="auto"/>
                <w:sz w:val="22"/>
                <w:szCs w:val="22"/>
              </w:rPr>
            </w:pPr>
            <w:r>
              <w:rPr>
                <w:color w:val="auto"/>
                <w:sz w:val="22"/>
                <w:szCs w:val="22"/>
              </w:rPr>
              <w:t>2</w:t>
            </w:r>
            <w:r w:rsidR="009E3521">
              <w:rPr>
                <w:color w:val="auto"/>
                <w:sz w:val="22"/>
                <w:szCs w:val="22"/>
              </w:rPr>
              <w:t>7</w:t>
            </w:r>
            <w:r w:rsidRPr="00A81435">
              <w:rPr>
                <w:color w:val="auto"/>
                <w:sz w:val="22"/>
                <w:szCs w:val="22"/>
              </w:rPr>
              <w:t>.1</w:t>
            </w:r>
          </w:p>
        </w:tc>
        <w:tc>
          <w:tcPr>
            <w:tcW w:w="4568" w:type="dxa"/>
          </w:tcPr>
          <w:p w14:paraId="3F2412E8" w14:textId="7139912F" w:rsidR="00B5121E" w:rsidRPr="00CF7516" w:rsidRDefault="00882066" w:rsidP="00CF7516">
            <w:pPr>
              <w:tabs>
                <w:tab w:val="left" w:pos="166"/>
              </w:tabs>
              <w:spacing w:before="60"/>
              <w:rPr>
                <w:rFonts w:cs="Arial"/>
                <w:color w:val="auto"/>
                <w:sz w:val="22"/>
                <w:szCs w:val="22"/>
              </w:rPr>
            </w:pPr>
            <w:r>
              <w:rPr>
                <w:rFonts w:cs="Arial"/>
                <w:color w:val="auto"/>
                <w:sz w:val="22"/>
                <w:szCs w:val="22"/>
              </w:rPr>
              <w:t>Ensure they r</w:t>
            </w:r>
            <w:r w:rsidRPr="00CF7516">
              <w:rPr>
                <w:rFonts w:cs="Arial"/>
                <w:color w:val="auto"/>
                <w:sz w:val="22"/>
                <w:szCs w:val="22"/>
              </w:rPr>
              <w:t>ecord</w:t>
            </w:r>
            <w:r w:rsidR="00B5121E" w:rsidRPr="00CF7516">
              <w:rPr>
                <w:rFonts w:cs="Arial"/>
                <w:color w:val="auto"/>
                <w:sz w:val="22"/>
                <w:szCs w:val="22"/>
              </w:rPr>
              <w:t>, review, analyse and mitigate all adverse events, incidents and near misses.</w:t>
            </w:r>
          </w:p>
          <w:p w14:paraId="31B18305" w14:textId="7DD0679E" w:rsidR="009C798E" w:rsidRPr="00CF7516" w:rsidRDefault="009C798E" w:rsidP="00185102">
            <w:pPr>
              <w:tabs>
                <w:tab w:val="left" w:pos="151"/>
              </w:tabs>
              <w:spacing w:before="60"/>
              <w:rPr>
                <w:rFonts w:cs="Arial"/>
                <w:color w:val="auto"/>
                <w:sz w:val="22"/>
                <w:szCs w:val="22"/>
              </w:rPr>
            </w:pPr>
          </w:p>
        </w:tc>
        <w:tc>
          <w:tcPr>
            <w:tcW w:w="4075" w:type="dxa"/>
          </w:tcPr>
          <w:p w14:paraId="2A195CF3" w14:textId="3E6467E8" w:rsidR="00882066" w:rsidRDefault="00882066" w:rsidP="00185102">
            <w:pPr>
              <w:spacing w:before="60"/>
              <w:rPr>
                <w:rFonts w:cs="Arial"/>
                <w:color w:val="auto"/>
                <w:sz w:val="22"/>
                <w:szCs w:val="22"/>
              </w:rPr>
            </w:pPr>
            <w:r>
              <w:rPr>
                <w:rFonts w:cs="Arial"/>
                <w:color w:val="auto"/>
                <w:sz w:val="22"/>
                <w:szCs w:val="22"/>
              </w:rPr>
              <w:t>Document</w:t>
            </w:r>
            <w:r w:rsidR="00057F88">
              <w:rPr>
                <w:rFonts w:cs="Arial"/>
                <w:color w:val="auto"/>
                <w:sz w:val="22"/>
                <w:szCs w:val="22"/>
              </w:rPr>
              <w:t xml:space="preserve"> </w:t>
            </w:r>
            <w:r w:rsidR="00B5121E" w:rsidRPr="00CF7516">
              <w:rPr>
                <w:rFonts w:cs="Arial"/>
                <w:color w:val="auto"/>
                <w:sz w:val="22"/>
                <w:szCs w:val="22"/>
              </w:rPr>
              <w:t xml:space="preserve">practice </w:t>
            </w:r>
            <w:r w:rsidR="00127AAE">
              <w:rPr>
                <w:rFonts w:cs="Arial"/>
                <w:color w:val="auto"/>
                <w:sz w:val="22"/>
                <w:szCs w:val="22"/>
              </w:rPr>
              <w:t>I</w:t>
            </w:r>
            <w:r w:rsidR="00B5121E" w:rsidRPr="00CF7516">
              <w:rPr>
                <w:rFonts w:cs="Arial"/>
                <w:color w:val="auto"/>
                <w:sz w:val="22"/>
                <w:szCs w:val="22"/>
              </w:rPr>
              <w:t>ncident</w:t>
            </w:r>
            <w:r w:rsidR="00057F88">
              <w:rPr>
                <w:rFonts w:cs="Arial"/>
                <w:color w:val="auto"/>
                <w:sz w:val="22"/>
                <w:szCs w:val="22"/>
              </w:rPr>
              <w:t>/</w:t>
            </w:r>
            <w:r w:rsidR="00127AAE">
              <w:rPr>
                <w:rFonts w:cs="Arial"/>
                <w:color w:val="auto"/>
                <w:sz w:val="22"/>
                <w:szCs w:val="22"/>
              </w:rPr>
              <w:t>A</w:t>
            </w:r>
            <w:r w:rsidR="00057F88">
              <w:rPr>
                <w:rFonts w:cs="Arial"/>
                <w:color w:val="auto"/>
                <w:sz w:val="22"/>
                <w:szCs w:val="22"/>
              </w:rPr>
              <w:t xml:space="preserve">dverse </w:t>
            </w:r>
            <w:r w:rsidR="00127AAE">
              <w:rPr>
                <w:rFonts w:cs="Arial"/>
                <w:color w:val="auto"/>
                <w:sz w:val="22"/>
                <w:szCs w:val="22"/>
              </w:rPr>
              <w:t>E</w:t>
            </w:r>
            <w:r w:rsidR="00057F88">
              <w:rPr>
                <w:rFonts w:cs="Arial"/>
                <w:color w:val="auto"/>
                <w:sz w:val="22"/>
                <w:szCs w:val="22"/>
              </w:rPr>
              <w:t>vent</w:t>
            </w:r>
            <w:r w:rsidR="00F67287" w:rsidRPr="00CF7516">
              <w:rPr>
                <w:rFonts w:cs="Arial"/>
                <w:color w:val="auto"/>
                <w:sz w:val="22"/>
                <w:szCs w:val="22"/>
              </w:rPr>
              <w:t xml:space="preserve"> </w:t>
            </w:r>
            <w:r w:rsidR="00127AAE">
              <w:rPr>
                <w:rFonts w:cs="Arial"/>
                <w:color w:val="auto"/>
                <w:sz w:val="22"/>
                <w:szCs w:val="22"/>
              </w:rPr>
              <w:t>R</w:t>
            </w:r>
            <w:r w:rsidR="00B5121E" w:rsidRPr="00CF7516">
              <w:rPr>
                <w:rFonts w:cs="Arial"/>
                <w:color w:val="auto"/>
                <w:sz w:val="22"/>
                <w:szCs w:val="22"/>
              </w:rPr>
              <w:t xml:space="preserve">isk </w:t>
            </w:r>
            <w:r w:rsidR="00127AAE">
              <w:rPr>
                <w:rFonts w:cs="Arial"/>
                <w:color w:val="auto"/>
                <w:sz w:val="22"/>
                <w:szCs w:val="22"/>
              </w:rPr>
              <w:t>M</w:t>
            </w:r>
            <w:r w:rsidR="00B5121E" w:rsidRPr="00CF7516">
              <w:rPr>
                <w:rFonts w:cs="Arial"/>
                <w:color w:val="auto"/>
                <w:sz w:val="22"/>
                <w:szCs w:val="22"/>
              </w:rPr>
              <w:t xml:space="preserve">anagement </w:t>
            </w:r>
            <w:r w:rsidR="00127AAE">
              <w:rPr>
                <w:rFonts w:cs="Arial"/>
                <w:color w:val="auto"/>
                <w:sz w:val="22"/>
                <w:szCs w:val="22"/>
              </w:rPr>
              <w:t>P</w:t>
            </w:r>
            <w:r w:rsidR="00B5121E" w:rsidRPr="00CF7516">
              <w:rPr>
                <w:rFonts w:cs="Arial"/>
                <w:color w:val="auto"/>
                <w:sz w:val="22"/>
                <w:szCs w:val="22"/>
              </w:rPr>
              <w:t>olicy</w:t>
            </w:r>
            <w:r>
              <w:rPr>
                <w:rFonts w:cs="Arial"/>
                <w:color w:val="auto"/>
                <w:sz w:val="22"/>
                <w:szCs w:val="22"/>
              </w:rPr>
              <w:t xml:space="preserve"> and processes</w:t>
            </w:r>
            <w:r w:rsidR="00D550B0">
              <w:rPr>
                <w:rFonts w:cs="Arial"/>
                <w:color w:val="auto"/>
                <w:sz w:val="22"/>
                <w:szCs w:val="22"/>
              </w:rPr>
              <w:t>.</w:t>
            </w:r>
          </w:p>
          <w:p w14:paraId="01FC2246" w14:textId="3914E247" w:rsidR="009C798E" w:rsidRPr="00CF7516" w:rsidRDefault="00882066" w:rsidP="00185102">
            <w:pPr>
              <w:spacing w:before="60"/>
              <w:rPr>
                <w:color w:val="auto"/>
                <w:sz w:val="22"/>
                <w:szCs w:val="22"/>
              </w:rPr>
            </w:pPr>
            <w:r>
              <w:rPr>
                <w:rFonts w:cs="Arial"/>
                <w:color w:val="auto"/>
                <w:sz w:val="22"/>
                <w:szCs w:val="22"/>
              </w:rPr>
              <w:t>Maintain an</w:t>
            </w:r>
            <w:r w:rsidRPr="00CF7516" w:rsidDel="00882066">
              <w:rPr>
                <w:rFonts w:cs="Arial"/>
                <w:color w:val="auto"/>
                <w:sz w:val="22"/>
                <w:szCs w:val="22"/>
              </w:rPr>
              <w:t xml:space="preserve"> </w:t>
            </w:r>
            <w:r w:rsidR="00127AAE">
              <w:rPr>
                <w:rFonts w:cs="Arial"/>
                <w:color w:val="auto"/>
                <w:sz w:val="22"/>
                <w:szCs w:val="22"/>
              </w:rPr>
              <w:t>up</w:t>
            </w:r>
            <w:r w:rsidR="00ED3B10">
              <w:rPr>
                <w:rFonts w:cs="Arial"/>
                <w:color w:val="auto"/>
                <w:sz w:val="22"/>
                <w:szCs w:val="22"/>
              </w:rPr>
              <w:t>-</w:t>
            </w:r>
            <w:r w:rsidR="00127AAE">
              <w:rPr>
                <w:rFonts w:cs="Arial"/>
                <w:color w:val="auto"/>
                <w:sz w:val="22"/>
                <w:szCs w:val="22"/>
              </w:rPr>
              <w:t>to</w:t>
            </w:r>
            <w:r w:rsidR="00ED3B10">
              <w:rPr>
                <w:rFonts w:cs="Arial"/>
                <w:color w:val="auto"/>
                <w:sz w:val="22"/>
                <w:szCs w:val="22"/>
              </w:rPr>
              <w:t>-</w:t>
            </w:r>
            <w:r w:rsidR="00127AAE">
              <w:rPr>
                <w:rFonts w:cs="Arial"/>
                <w:color w:val="auto"/>
                <w:sz w:val="22"/>
                <w:szCs w:val="22"/>
              </w:rPr>
              <w:t xml:space="preserve">date </w:t>
            </w:r>
            <w:r w:rsidR="00B5121E" w:rsidRPr="00CF7516">
              <w:rPr>
                <w:rFonts w:cs="Arial"/>
                <w:color w:val="auto"/>
                <w:sz w:val="22"/>
                <w:szCs w:val="22"/>
              </w:rPr>
              <w:t>register</w:t>
            </w:r>
            <w:r w:rsidR="00F67287" w:rsidRPr="00CF7516">
              <w:rPr>
                <w:rFonts w:cs="Arial"/>
                <w:color w:val="auto"/>
                <w:sz w:val="22"/>
                <w:szCs w:val="22"/>
              </w:rPr>
              <w:t>.</w:t>
            </w:r>
          </w:p>
        </w:tc>
      </w:tr>
      <w:tr w:rsidR="00B66A7E" w:rsidRPr="00A81435" w14:paraId="7C983CF0" w14:textId="77777777" w:rsidTr="00185102">
        <w:tc>
          <w:tcPr>
            <w:tcW w:w="1153" w:type="dxa"/>
          </w:tcPr>
          <w:p w14:paraId="3CFC8BB1" w14:textId="15D7F7FE" w:rsidR="00B66A7E" w:rsidRDefault="00CF7516" w:rsidP="00185102">
            <w:pPr>
              <w:spacing w:before="60"/>
              <w:rPr>
                <w:color w:val="auto"/>
                <w:sz w:val="22"/>
                <w:szCs w:val="22"/>
              </w:rPr>
            </w:pPr>
            <w:r>
              <w:rPr>
                <w:color w:val="auto"/>
                <w:sz w:val="22"/>
                <w:szCs w:val="22"/>
              </w:rPr>
              <w:t>2</w:t>
            </w:r>
            <w:r w:rsidR="009E3521">
              <w:rPr>
                <w:color w:val="auto"/>
                <w:sz w:val="22"/>
                <w:szCs w:val="22"/>
              </w:rPr>
              <w:t>7</w:t>
            </w:r>
            <w:r>
              <w:rPr>
                <w:color w:val="auto"/>
                <w:sz w:val="22"/>
                <w:szCs w:val="22"/>
              </w:rPr>
              <w:t>.2</w:t>
            </w:r>
          </w:p>
        </w:tc>
        <w:tc>
          <w:tcPr>
            <w:tcW w:w="4568" w:type="dxa"/>
          </w:tcPr>
          <w:p w14:paraId="3F87C8A9" w14:textId="0135A27A" w:rsidR="00B66A7E" w:rsidRPr="00CF7516" w:rsidRDefault="00882066" w:rsidP="00185102">
            <w:pPr>
              <w:tabs>
                <w:tab w:val="left" w:pos="151"/>
              </w:tabs>
              <w:spacing w:before="60"/>
              <w:rPr>
                <w:rFonts w:cs="Arial"/>
                <w:color w:val="auto"/>
                <w:sz w:val="22"/>
                <w:szCs w:val="22"/>
              </w:rPr>
            </w:pPr>
            <w:r>
              <w:rPr>
                <w:rFonts w:cs="Arial"/>
                <w:color w:val="auto"/>
                <w:sz w:val="22"/>
                <w:szCs w:val="22"/>
              </w:rPr>
              <w:t>Ensure they i</w:t>
            </w:r>
            <w:r w:rsidR="00B5121E" w:rsidRPr="00CF7516">
              <w:rPr>
                <w:rFonts w:cs="Arial"/>
                <w:color w:val="auto"/>
                <w:sz w:val="22"/>
                <w:szCs w:val="22"/>
              </w:rPr>
              <w:t>dentify and reference in the clinical record adverse events and near-misses as they relate to individual patients</w:t>
            </w:r>
            <w:r w:rsidR="00F67287" w:rsidRPr="00CF7516">
              <w:rPr>
                <w:rFonts w:cs="Arial"/>
                <w:color w:val="auto"/>
                <w:sz w:val="22"/>
                <w:szCs w:val="22"/>
              </w:rPr>
              <w:t>.</w:t>
            </w:r>
          </w:p>
        </w:tc>
        <w:tc>
          <w:tcPr>
            <w:tcW w:w="4075" w:type="dxa"/>
          </w:tcPr>
          <w:p w14:paraId="5729E08C" w14:textId="01A6D055" w:rsidR="00B66A7E" w:rsidRPr="00CF7516" w:rsidRDefault="00882066" w:rsidP="00185102">
            <w:pPr>
              <w:spacing w:before="60"/>
              <w:rPr>
                <w:color w:val="auto"/>
                <w:sz w:val="22"/>
                <w:szCs w:val="22"/>
              </w:rPr>
            </w:pPr>
            <w:r>
              <w:rPr>
                <w:color w:val="auto"/>
                <w:sz w:val="22"/>
                <w:szCs w:val="22"/>
              </w:rPr>
              <w:t xml:space="preserve">Documented adverse </w:t>
            </w:r>
            <w:r w:rsidR="00974D1D">
              <w:rPr>
                <w:color w:val="auto"/>
                <w:sz w:val="22"/>
                <w:szCs w:val="22"/>
              </w:rPr>
              <w:t>events</w:t>
            </w:r>
            <w:r w:rsidR="00D07F35">
              <w:rPr>
                <w:color w:val="auto"/>
                <w:sz w:val="22"/>
                <w:szCs w:val="22"/>
              </w:rPr>
              <w:t xml:space="preserve"> </w:t>
            </w:r>
            <w:r>
              <w:rPr>
                <w:color w:val="auto"/>
                <w:sz w:val="22"/>
                <w:szCs w:val="22"/>
              </w:rPr>
              <w:t xml:space="preserve">are </w:t>
            </w:r>
            <w:r w:rsidR="00D07F35">
              <w:rPr>
                <w:color w:val="auto"/>
                <w:sz w:val="22"/>
                <w:szCs w:val="22"/>
              </w:rPr>
              <w:t>recorded in patient records and</w:t>
            </w:r>
            <w:r>
              <w:rPr>
                <w:color w:val="auto"/>
                <w:sz w:val="22"/>
                <w:szCs w:val="22"/>
              </w:rPr>
              <w:t xml:space="preserve"> in the</w:t>
            </w:r>
            <w:r w:rsidR="00D07F35">
              <w:rPr>
                <w:color w:val="auto"/>
                <w:sz w:val="22"/>
                <w:szCs w:val="22"/>
              </w:rPr>
              <w:t xml:space="preserve"> incident register.</w:t>
            </w:r>
          </w:p>
        </w:tc>
      </w:tr>
      <w:tr w:rsidR="00B66A7E" w:rsidRPr="00A81435" w14:paraId="3319B5C8" w14:textId="77777777" w:rsidTr="00185102">
        <w:tc>
          <w:tcPr>
            <w:tcW w:w="1153" w:type="dxa"/>
          </w:tcPr>
          <w:p w14:paraId="26CAC44C" w14:textId="67D14DE7" w:rsidR="00B66A7E" w:rsidRDefault="00CF7516" w:rsidP="00185102">
            <w:pPr>
              <w:spacing w:before="60"/>
              <w:rPr>
                <w:color w:val="auto"/>
                <w:sz w:val="22"/>
                <w:szCs w:val="22"/>
              </w:rPr>
            </w:pPr>
            <w:r>
              <w:rPr>
                <w:color w:val="auto"/>
                <w:sz w:val="22"/>
                <w:szCs w:val="22"/>
              </w:rPr>
              <w:t>2</w:t>
            </w:r>
            <w:r w:rsidR="009E3521">
              <w:rPr>
                <w:color w:val="auto"/>
                <w:sz w:val="22"/>
                <w:szCs w:val="22"/>
              </w:rPr>
              <w:t>7</w:t>
            </w:r>
            <w:r>
              <w:rPr>
                <w:color w:val="auto"/>
                <w:sz w:val="22"/>
                <w:szCs w:val="22"/>
              </w:rPr>
              <w:t>.3</w:t>
            </w:r>
          </w:p>
        </w:tc>
        <w:tc>
          <w:tcPr>
            <w:tcW w:w="4568" w:type="dxa"/>
          </w:tcPr>
          <w:p w14:paraId="4BD95C78" w14:textId="0D910F0B" w:rsidR="00B66A7E" w:rsidRPr="00CF7516" w:rsidRDefault="00882066" w:rsidP="00185102">
            <w:pPr>
              <w:tabs>
                <w:tab w:val="left" w:pos="151"/>
              </w:tabs>
              <w:spacing w:before="60"/>
              <w:rPr>
                <w:rFonts w:cs="Arial"/>
                <w:color w:val="auto"/>
                <w:sz w:val="22"/>
                <w:szCs w:val="22"/>
              </w:rPr>
            </w:pPr>
            <w:r>
              <w:rPr>
                <w:rFonts w:cs="Arial"/>
                <w:color w:val="auto"/>
                <w:sz w:val="22"/>
                <w:szCs w:val="22"/>
              </w:rPr>
              <w:t>Ensure they u</w:t>
            </w:r>
            <w:r w:rsidR="00B5121E" w:rsidRPr="00CF7516">
              <w:rPr>
                <w:rFonts w:cs="Arial"/>
                <w:color w:val="auto"/>
                <w:sz w:val="22"/>
                <w:szCs w:val="22"/>
              </w:rPr>
              <w:t xml:space="preserve">se </w:t>
            </w:r>
            <w:r>
              <w:rPr>
                <w:rFonts w:cs="Arial"/>
                <w:color w:val="auto"/>
                <w:sz w:val="22"/>
                <w:szCs w:val="22"/>
              </w:rPr>
              <w:t xml:space="preserve">adverse and related </w:t>
            </w:r>
            <w:r w:rsidR="00057F88">
              <w:rPr>
                <w:rFonts w:cs="Arial"/>
                <w:color w:val="auto"/>
                <w:sz w:val="22"/>
                <w:szCs w:val="22"/>
              </w:rPr>
              <w:t xml:space="preserve">events </w:t>
            </w:r>
            <w:r w:rsidR="00B5121E" w:rsidRPr="00CF7516">
              <w:rPr>
                <w:rFonts w:cs="Arial"/>
                <w:color w:val="auto"/>
                <w:sz w:val="22"/>
                <w:szCs w:val="22"/>
              </w:rPr>
              <w:t>for learning and quality improvement</w:t>
            </w:r>
            <w:r>
              <w:rPr>
                <w:rFonts w:cs="Arial"/>
                <w:color w:val="auto"/>
                <w:sz w:val="22"/>
                <w:szCs w:val="22"/>
              </w:rPr>
              <w:t xml:space="preserve"> opportunities</w:t>
            </w:r>
            <w:r w:rsidR="00F67287" w:rsidRPr="00CF7516">
              <w:rPr>
                <w:rFonts w:cs="Arial"/>
                <w:color w:val="auto"/>
                <w:sz w:val="22"/>
                <w:szCs w:val="22"/>
              </w:rPr>
              <w:t>.</w:t>
            </w:r>
          </w:p>
        </w:tc>
        <w:tc>
          <w:tcPr>
            <w:tcW w:w="4075" w:type="dxa"/>
          </w:tcPr>
          <w:p w14:paraId="6CBD3EA8" w14:textId="40125440" w:rsidR="00B66A7E" w:rsidRPr="00CF7516" w:rsidRDefault="00C20198" w:rsidP="00185102">
            <w:pPr>
              <w:spacing w:before="60"/>
              <w:rPr>
                <w:color w:val="auto"/>
                <w:sz w:val="22"/>
                <w:szCs w:val="22"/>
              </w:rPr>
            </w:pPr>
            <w:r>
              <w:rPr>
                <w:color w:val="auto"/>
                <w:sz w:val="22"/>
                <w:szCs w:val="22"/>
              </w:rPr>
              <w:t xml:space="preserve">Documented </w:t>
            </w:r>
            <w:r w:rsidR="0049401C">
              <w:rPr>
                <w:color w:val="auto"/>
                <w:sz w:val="22"/>
                <w:szCs w:val="22"/>
              </w:rPr>
              <w:t>practice meetings reviewing adverse events and actions taken</w:t>
            </w:r>
            <w:r w:rsidR="00D550B0">
              <w:rPr>
                <w:color w:val="auto"/>
                <w:sz w:val="22"/>
                <w:szCs w:val="22"/>
              </w:rPr>
              <w:t>.</w:t>
            </w:r>
          </w:p>
        </w:tc>
      </w:tr>
    </w:tbl>
    <w:p w14:paraId="1B8DA3A4" w14:textId="77777777" w:rsidR="00431C80" w:rsidRPr="005B2DE1" w:rsidRDefault="00431C80" w:rsidP="00431C80">
      <w:pPr>
        <w:pStyle w:val="HHLBodyText"/>
        <w:spacing w:before="240"/>
        <w:rPr>
          <w:b/>
          <w:sz w:val="22"/>
          <w:szCs w:val="22"/>
        </w:rPr>
      </w:pPr>
      <w:r w:rsidRPr="005B2DE1">
        <w:rPr>
          <w:b/>
          <w:sz w:val="22"/>
          <w:szCs w:val="22"/>
        </w:rPr>
        <w:t>Required training</w:t>
      </w:r>
    </w:p>
    <w:p w14:paraId="09E10D8D" w14:textId="5E52DFEC" w:rsidR="00AF3512" w:rsidRPr="00EF0A0E" w:rsidRDefault="00500990"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754B5DC6" w14:textId="35751594" w:rsidR="009C798E" w:rsidRDefault="009C798E" w:rsidP="009C798E">
      <w:pPr>
        <w:spacing w:before="240" w:after="120"/>
        <w:rPr>
          <w:b/>
          <w:color w:val="auto"/>
          <w:sz w:val="22"/>
          <w:szCs w:val="22"/>
        </w:rPr>
      </w:pPr>
      <w:r w:rsidRPr="00A81435">
        <w:rPr>
          <w:b/>
          <w:color w:val="auto"/>
          <w:sz w:val="22"/>
          <w:szCs w:val="22"/>
        </w:rPr>
        <w:t>Guidance notes</w:t>
      </w:r>
    </w:p>
    <w:p w14:paraId="4A95F0AC" w14:textId="118C1845" w:rsidR="00090651" w:rsidRPr="00603E29" w:rsidRDefault="00605F83" w:rsidP="00CA4893">
      <w:pPr>
        <w:pStyle w:val="HHLBodyText"/>
        <w:spacing w:before="240"/>
        <w:rPr>
          <w:i/>
        </w:rPr>
      </w:pPr>
      <w:r>
        <w:rPr>
          <w:i/>
        </w:rPr>
        <w:t xml:space="preserve">Adverse Event </w:t>
      </w:r>
      <w:r w:rsidR="009C656B">
        <w:rPr>
          <w:i/>
        </w:rPr>
        <w:t>Management</w:t>
      </w:r>
    </w:p>
    <w:p w14:paraId="2AF275DA" w14:textId="77777777" w:rsidR="00605F83" w:rsidRPr="005B2E21" w:rsidRDefault="00605F83" w:rsidP="00CA4893">
      <w:pPr>
        <w:spacing w:after="120"/>
        <w:rPr>
          <w:color w:val="auto"/>
          <w:sz w:val="22"/>
          <w:szCs w:val="22"/>
        </w:rPr>
      </w:pPr>
      <w:r w:rsidRPr="005B2E21">
        <w:rPr>
          <w:color w:val="auto"/>
          <w:sz w:val="22"/>
          <w:szCs w:val="22"/>
        </w:rPr>
        <w:t>The purpose of adverse event reporting and management is to identify, analyse and correct or minimize the risk relating to hazards, patient harm or incidents, including near misses, to reduce the likelihood of recurrence and to improve patient safety.</w:t>
      </w:r>
    </w:p>
    <w:p w14:paraId="329FED62" w14:textId="7AAE4D7E" w:rsidR="00605F83" w:rsidRPr="005B2E21" w:rsidRDefault="00605F83" w:rsidP="005B2E21">
      <w:pPr>
        <w:spacing w:after="120"/>
        <w:rPr>
          <w:color w:val="auto"/>
          <w:sz w:val="22"/>
          <w:szCs w:val="22"/>
        </w:rPr>
      </w:pPr>
      <w:r w:rsidRPr="005B2E21">
        <w:rPr>
          <w:color w:val="auto"/>
          <w:sz w:val="22"/>
          <w:szCs w:val="22"/>
        </w:rPr>
        <w:t>The term ‘</w:t>
      </w:r>
      <w:r w:rsidR="00AC0315" w:rsidRPr="005B2E21">
        <w:rPr>
          <w:color w:val="auto"/>
          <w:sz w:val="22"/>
          <w:szCs w:val="22"/>
        </w:rPr>
        <w:t xml:space="preserve">Adverse Event </w:t>
      </w:r>
      <w:r w:rsidR="002B3A40" w:rsidRPr="005B2E21">
        <w:rPr>
          <w:color w:val="auto"/>
          <w:sz w:val="22"/>
          <w:szCs w:val="22"/>
        </w:rPr>
        <w:t>m</w:t>
      </w:r>
      <w:r w:rsidRPr="005B2E21">
        <w:rPr>
          <w:color w:val="auto"/>
          <w:sz w:val="22"/>
          <w:szCs w:val="22"/>
        </w:rPr>
        <w:t xml:space="preserve">anagement’ covers a range of other terminology that may be used in general practice, including serious adverse events, significant events, adverse events, incidents, events or reportable events. </w:t>
      </w:r>
    </w:p>
    <w:p w14:paraId="3C62A37D" w14:textId="77777777" w:rsidR="00605F83" w:rsidRPr="005B2E21" w:rsidRDefault="00605F83" w:rsidP="005B2E21">
      <w:pPr>
        <w:spacing w:after="120"/>
        <w:rPr>
          <w:color w:val="auto"/>
          <w:sz w:val="22"/>
          <w:szCs w:val="22"/>
        </w:rPr>
      </w:pPr>
      <w:r w:rsidRPr="005B2E21">
        <w:rPr>
          <w:color w:val="auto"/>
          <w:sz w:val="22"/>
          <w:szCs w:val="22"/>
        </w:rPr>
        <w:t>A clearly defined system for reporting and managing all levels of adverse events is important.</w:t>
      </w:r>
    </w:p>
    <w:p w14:paraId="2F26D8EA" w14:textId="77777777" w:rsidR="00605F83" w:rsidRPr="005B2E21" w:rsidRDefault="00605F83" w:rsidP="00CC51AB">
      <w:pPr>
        <w:rPr>
          <w:color w:val="auto"/>
          <w:sz w:val="22"/>
          <w:szCs w:val="22"/>
        </w:rPr>
      </w:pPr>
      <w:r w:rsidRPr="005B2E21">
        <w:rPr>
          <w:color w:val="auto"/>
          <w:sz w:val="22"/>
          <w:szCs w:val="22"/>
        </w:rPr>
        <w:t>The system for managing adverse events should include continuous quality improvement (CQI) mechanisms to ensure:</w:t>
      </w:r>
    </w:p>
    <w:p w14:paraId="005C4F12" w14:textId="05C44332" w:rsidR="00605F83" w:rsidRPr="00095D74" w:rsidRDefault="00696E5F" w:rsidP="00F2122C">
      <w:pPr>
        <w:pStyle w:val="Bullets"/>
        <w:spacing w:after="60"/>
        <w:ind w:left="567" w:hanging="567"/>
        <w:rPr>
          <w:rFonts w:ascii="Arial" w:hAnsi="Arial" w:cs="Arial"/>
        </w:rPr>
      </w:pPr>
      <w:r>
        <w:rPr>
          <w:rFonts w:ascii="Arial" w:hAnsi="Arial" w:cs="Arial"/>
        </w:rPr>
        <w:t>A</w:t>
      </w:r>
      <w:r w:rsidR="00605F83" w:rsidRPr="00095D74">
        <w:rPr>
          <w:rFonts w:ascii="Arial" w:hAnsi="Arial" w:cs="Arial"/>
        </w:rPr>
        <w:t>ll reports are acted upon appropriately and within set timeframes</w:t>
      </w:r>
    </w:p>
    <w:p w14:paraId="705212A5" w14:textId="55528EA2" w:rsidR="00605F83" w:rsidRPr="00095D74" w:rsidRDefault="00696E5F" w:rsidP="00F2122C">
      <w:pPr>
        <w:pStyle w:val="Bullets"/>
        <w:spacing w:after="60"/>
        <w:ind w:left="567" w:hanging="567"/>
        <w:rPr>
          <w:rFonts w:ascii="Arial" w:hAnsi="Arial" w:cs="Arial"/>
        </w:rPr>
      </w:pPr>
      <w:r>
        <w:rPr>
          <w:rFonts w:ascii="Arial" w:hAnsi="Arial" w:cs="Arial"/>
        </w:rPr>
        <w:t>F</w:t>
      </w:r>
      <w:r w:rsidR="00605F83" w:rsidRPr="00095D74">
        <w:rPr>
          <w:rFonts w:ascii="Arial" w:hAnsi="Arial" w:cs="Arial"/>
        </w:rPr>
        <w:t>eedback to team members happens</w:t>
      </w:r>
    </w:p>
    <w:p w14:paraId="17A22B1F" w14:textId="5B36C2E7" w:rsidR="00605F83" w:rsidRPr="00095D74" w:rsidRDefault="00696E5F" w:rsidP="00F2122C">
      <w:pPr>
        <w:pStyle w:val="Bullets"/>
        <w:spacing w:after="60"/>
        <w:ind w:left="567" w:hanging="567"/>
        <w:rPr>
          <w:rFonts w:ascii="Arial" w:hAnsi="Arial" w:cs="Arial"/>
        </w:rPr>
      </w:pPr>
      <w:r>
        <w:rPr>
          <w:rFonts w:ascii="Arial" w:hAnsi="Arial" w:cs="Arial"/>
        </w:rPr>
        <w:t>T</w:t>
      </w:r>
      <w:r w:rsidR="00605F83" w:rsidRPr="00095D74">
        <w:rPr>
          <w:rFonts w:ascii="Arial" w:hAnsi="Arial" w:cs="Arial"/>
        </w:rPr>
        <w:t>he appropriate levels within the practice/organisation/sector are involved to support quality and safety of service provision</w:t>
      </w:r>
    </w:p>
    <w:p w14:paraId="435D0AC5" w14:textId="77777777" w:rsidR="00605F83" w:rsidRPr="00696E5F" w:rsidRDefault="00605F83" w:rsidP="00696E5F">
      <w:pPr>
        <w:spacing w:before="120"/>
        <w:rPr>
          <w:b/>
          <w:color w:val="auto"/>
          <w:sz w:val="22"/>
          <w:szCs w:val="22"/>
        </w:rPr>
      </w:pPr>
      <w:r w:rsidRPr="00696E5F">
        <w:rPr>
          <w:b/>
          <w:color w:val="auto"/>
          <w:sz w:val="22"/>
          <w:szCs w:val="22"/>
        </w:rPr>
        <w:t>What is an adverse event?</w:t>
      </w:r>
    </w:p>
    <w:p w14:paraId="6372FE7B" w14:textId="13CFCA3C" w:rsidR="00605F83" w:rsidRPr="005B2E21" w:rsidRDefault="00605F83" w:rsidP="005B2E21">
      <w:pPr>
        <w:spacing w:after="120"/>
        <w:rPr>
          <w:color w:val="auto"/>
          <w:sz w:val="22"/>
          <w:szCs w:val="22"/>
        </w:rPr>
      </w:pPr>
      <w:r w:rsidRPr="005B2E21">
        <w:rPr>
          <w:color w:val="auto"/>
          <w:sz w:val="22"/>
          <w:szCs w:val="22"/>
        </w:rPr>
        <w:t>Often in our health system an adverse event is defined as any event that could have or did cause harm to a consumer; however, other incidents occur in general practice, such as staff accidents and injuries, fire or other damage to the facilities, loss or disruption to service delivery.</w:t>
      </w:r>
    </w:p>
    <w:p w14:paraId="4D99A97F" w14:textId="77777777" w:rsidR="00605F83" w:rsidRPr="005B2E21" w:rsidRDefault="00605F83" w:rsidP="00861D45">
      <w:pPr>
        <w:rPr>
          <w:color w:val="auto"/>
          <w:sz w:val="22"/>
          <w:szCs w:val="22"/>
        </w:rPr>
      </w:pPr>
      <w:r w:rsidRPr="005B2E21">
        <w:rPr>
          <w:color w:val="auto"/>
          <w:sz w:val="22"/>
          <w:szCs w:val="22"/>
        </w:rPr>
        <w:t>An incident is deemed to be any event that:</w:t>
      </w:r>
    </w:p>
    <w:p w14:paraId="1B084DCC" w14:textId="5EE000E4" w:rsidR="00605F83" w:rsidRPr="00095D74" w:rsidRDefault="00861D45" w:rsidP="00F2122C">
      <w:pPr>
        <w:pStyle w:val="Bullets"/>
        <w:spacing w:after="60"/>
        <w:ind w:left="567" w:hanging="567"/>
        <w:rPr>
          <w:rFonts w:ascii="Arial" w:hAnsi="Arial" w:cs="Arial"/>
        </w:rPr>
      </w:pPr>
      <w:r>
        <w:rPr>
          <w:rFonts w:ascii="Arial" w:hAnsi="Arial" w:cs="Arial"/>
        </w:rPr>
        <w:t>C</w:t>
      </w:r>
      <w:r w:rsidR="00605F83" w:rsidRPr="00095D74">
        <w:rPr>
          <w:rFonts w:ascii="Arial" w:hAnsi="Arial" w:cs="Arial"/>
        </w:rPr>
        <w:t xml:space="preserve">ould have or did cause harm to a health consumer, employee or visitor </w:t>
      </w:r>
    </w:p>
    <w:p w14:paraId="289D4ABA" w14:textId="5CC608B5" w:rsidR="00605F83" w:rsidRPr="00095D74" w:rsidRDefault="00861D45" w:rsidP="00F2122C">
      <w:pPr>
        <w:pStyle w:val="Bullets"/>
        <w:spacing w:after="60"/>
        <w:ind w:left="567" w:hanging="567"/>
        <w:rPr>
          <w:rFonts w:ascii="Arial" w:hAnsi="Arial" w:cs="Arial"/>
        </w:rPr>
      </w:pPr>
      <w:r>
        <w:rPr>
          <w:rFonts w:ascii="Arial" w:hAnsi="Arial" w:cs="Arial"/>
        </w:rPr>
        <w:t>C</w:t>
      </w:r>
      <w:r w:rsidR="00605F83" w:rsidRPr="00095D74">
        <w:rPr>
          <w:rFonts w:ascii="Arial" w:hAnsi="Arial" w:cs="Arial"/>
        </w:rPr>
        <w:t xml:space="preserve">ould have or did cause damage to property </w:t>
      </w:r>
    </w:p>
    <w:p w14:paraId="35487D37" w14:textId="3448E364" w:rsidR="00605F83" w:rsidRPr="00095D74" w:rsidRDefault="00861D45" w:rsidP="00F2122C">
      <w:pPr>
        <w:pStyle w:val="Bullets"/>
        <w:spacing w:after="120"/>
        <w:ind w:left="567" w:hanging="567"/>
        <w:rPr>
          <w:rFonts w:ascii="Arial" w:hAnsi="Arial" w:cs="Arial"/>
        </w:rPr>
      </w:pPr>
      <w:r>
        <w:rPr>
          <w:rFonts w:ascii="Arial" w:hAnsi="Arial" w:cs="Arial"/>
        </w:rPr>
        <w:t>C</w:t>
      </w:r>
      <w:r w:rsidR="00605F83" w:rsidRPr="00095D74">
        <w:rPr>
          <w:rFonts w:ascii="Arial" w:hAnsi="Arial" w:cs="Arial"/>
        </w:rPr>
        <w:t xml:space="preserve">ould have or did cause loss of process </w:t>
      </w:r>
    </w:p>
    <w:p w14:paraId="2901ED3C" w14:textId="2E06CDC4" w:rsidR="00090651" w:rsidRPr="005B2E21" w:rsidRDefault="00605F83" w:rsidP="005B2E21">
      <w:pPr>
        <w:spacing w:after="120"/>
        <w:rPr>
          <w:color w:val="auto"/>
          <w:sz w:val="22"/>
          <w:szCs w:val="22"/>
        </w:rPr>
      </w:pPr>
      <w:r w:rsidRPr="005B2E21">
        <w:rPr>
          <w:color w:val="auto"/>
          <w:sz w:val="22"/>
          <w:szCs w:val="22"/>
        </w:rPr>
        <w:t xml:space="preserve">Near-miss events are often an early warning system that helps identify potential gaps in systems and processes before an event occurs. </w:t>
      </w:r>
      <w:r w:rsidR="00090651" w:rsidRPr="005B2E21">
        <w:rPr>
          <w:color w:val="auto"/>
          <w:sz w:val="22"/>
          <w:szCs w:val="22"/>
        </w:rPr>
        <w:t xml:space="preserve">  </w:t>
      </w:r>
    </w:p>
    <w:p w14:paraId="1B4462DE" w14:textId="77777777" w:rsidR="00F2122C" w:rsidRDefault="00F2122C">
      <w:pPr>
        <w:spacing w:after="0"/>
        <w:rPr>
          <w:i/>
          <w:color w:val="auto"/>
          <w:sz w:val="24"/>
        </w:rPr>
      </w:pPr>
      <w:r>
        <w:rPr>
          <w:i/>
        </w:rPr>
        <w:br w:type="page"/>
      </w:r>
    </w:p>
    <w:p w14:paraId="49F6DEA7" w14:textId="596BE531" w:rsidR="00090651" w:rsidRPr="00603E29" w:rsidRDefault="00090651" w:rsidP="00CA4893">
      <w:pPr>
        <w:pStyle w:val="HHLBodyText"/>
        <w:spacing w:before="240"/>
        <w:rPr>
          <w:i/>
        </w:rPr>
      </w:pPr>
      <w:r w:rsidRPr="00603E29">
        <w:rPr>
          <w:i/>
        </w:rPr>
        <w:lastRenderedPageBreak/>
        <w:t xml:space="preserve">Recording of </w:t>
      </w:r>
      <w:r w:rsidR="00605F83">
        <w:rPr>
          <w:i/>
        </w:rPr>
        <w:t>adverse event</w:t>
      </w:r>
    </w:p>
    <w:p w14:paraId="1EC88DED" w14:textId="4032E27F" w:rsidR="00090651" w:rsidRPr="005B2E21" w:rsidRDefault="00605F83" w:rsidP="009A0AB1">
      <w:pPr>
        <w:spacing w:after="120"/>
        <w:rPr>
          <w:color w:val="auto"/>
          <w:sz w:val="22"/>
          <w:szCs w:val="22"/>
        </w:rPr>
      </w:pPr>
      <w:r w:rsidRPr="005B2E21">
        <w:rPr>
          <w:color w:val="auto"/>
          <w:sz w:val="22"/>
          <w:szCs w:val="22"/>
        </w:rPr>
        <w:t>You can use your practice’s incident management process for all forms of incidents/adverse events/accidents/near misses, including health and safety accidents/near misses</w:t>
      </w:r>
      <w:r w:rsidR="00CC51AB">
        <w:rPr>
          <w:color w:val="auto"/>
          <w:sz w:val="22"/>
          <w:szCs w:val="22"/>
        </w:rPr>
        <w:t>.</w:t>
      </w:r>
    </w:p>
    <w:p w14:paraId="0EF98E19" w14:textId="5D761424" w:rsidR="00090651" w:rsidRPr="00603E29" w:rsidRDefault="00605F83" w:rsidP="00CA4893">
      <w:pPr>
        <w:pStyle w:val="HHLBodyText"/>
        <w:spacing w:before="240"/>
        <w:rPr>
          <w:i/>
        </w:rPr>
      </w:pPr>
      <w:r>
        <w:rPr>
          <w:i/>
        </w:rPr>
        <w:t>R</w:t>
      </w:r>
      <w:r w:rsidR="00090651" w:rsidRPr="00603E29">
        <w:rPr>
          <w:i/>
        </w:rPr>
        <w:t>eporting</w:t>
      </w:r>
    </w:p>
    <w:p w14:paraId="78A964CD" w14:textId="766991FC" w:rsidR="00605F83" w:rsidRPr="005B2E21" w:rsidRDefault="009C656B" w:rsidP="005B2E21">
      <w:pPr>
        <w:spacing w:after="120"/>
        <w:rPr>
          <w:color w:val="auto"/>
          <w:sz w:val="22"/>
          <w:szCs w:val="22"/>
        </w:rPr>
      </w:pPr>
      <w:r w:rsidRPr="005B2E21">
        <w:rPr>
          <w:color w:val="auto"/>
          <w:sz w:val="22"/>
          <w:szCs w:val="22"/>
        </w:rPr>
        <w:t>Reporting</w:t>
      </w:r>
      <w:r w:rsidR="00605F83" w:rsidRPr="005B2E21">
        <w:rPr>
          <w:color w:val="auto"/>
          <w:sz w:val="22"/>
          <w:szCs w:val="22"/>
        </w:rPr>
        <w:t xml:space="preserve"> and follow-up is an essential quality improvement activity that enables the use of actual or near-miss event learning to support the implementation of safe practice, to reduce risk and improve systems and processes within your practice.</w:t>
      </w:r>
    </w:p>
    <w:p w14:paraId="54D67036" w14:textId="1CF24DB5" w:rsidR="00090651" w:rsidRPr="005B2E21" w:rsidRDefault="00605F83" w:rsidP="005B2E21">
      <w:pPr>
        <w:spacing w:after="120"/>
        <w:rPr>
          <w:color w:val="auto"/>
          <w:sz w:val="22"/>
          <w:szCs w:val="22"/>
        </w:rPr>
      </w:pPr>
      <w:r w:rsidRPr="005B2E21">
        <w:rPr>
          <w:color w:val="auto"/>
          <w:sz w:val="22"/>
          <w:szCs w:val="22"/>
        </w:rPr>
        <w:t xml:space="preserve">Incident </w:t>
      </w:r>
      <w:r w:rsidR="009C656B" w:rsidRPr="005B2E21">
        <w:rPr>
          <w:color w:val="auto"/>
          <w:sz w:val="22"/>
          <w:szCs w:val="22"/>
        </w:rPr>
        <w:t>Reporting</w:t>
      </w:r>
      <w:r w:rsidRPr="005B2E21">
        <w:rPr>
          <w:color w:val="auto"/>
          <w:sz w:val="22"/>
          <w:szCs w:val="22"/>
        </w:rPr>
        <w:t>, follow-up and management are all part of the process to reduce risk and promote best practice processes</w:t>
      </w:r>
      <w:r w:rsidR="00090651" w:rsidRPr="005B2E21">
        <w:rPr>
          <w:color w:val="auto"/>
          <w:sz w:val="22"/>
          <w:szCs w:val="22"/>
        </w:rPr>
        <w:t>.</w:t>
      </w:r>
    </w:p>
    <w:p w14:paraId="419BB65D" w14:textId="7B7ACD3E" w:rsidR="00090651" w:rsidRPr="00603E29" w:rsidRDefault="00605F83" w:rsidP="00CA4893">
      <w:pPr>
        <w:pStyle w:val="HHLBodyText"/>
        <w:spacing w:before="240"/>
        <w:rPr>
          <w:i/>
        </w:rPr>
      </w:pPr>
      <w:r>
        <w:rPr>
          <w:i/>
        </w:rPr>
        <w:t>M</w:t>
      </w:r>
      <w:r w:rsidR="00090651" w:rsidRPr="00603E29">
        <w:rPr>
          <w:i/>
        </w:rPr>
        <w:t>anagement process</w:t>
      </w:r>
    </w:p>
    <w:p w14:paraId="0DAFD319" w14:textId="2FD47BB2" w:rsidR="00090651" w:rsidRPr="005B2E21" w:rsidRDefault="00090651" w:rsidP="005B2E21">
      <w:pPr>
        <w:spacing w:after="120"/>
        <w:rPr>
          <w:color w:val="auto"/>
          <w:sz w:val="22"/>
          <w:szCs w:val="22"/>
        </w:rPr>
      </w:pPr>
      <w:r w:rsidRPr="005B2E21">
        <w:rPr>
          <w:color w:val="auto"/>
          <w:sz w:val="22"/>
          <w:szCs w:val="22"/>
        </w:rPr>
        <w:t>There are several components that help support and guide the process:</w:t>
      </w:r>
    </w:p>
    <w:p w14:paraId="2D421A3C" w14:textId="7B27F6BA" w:rsidR="00090651" w:rsidRPr="00095D74" w:rsidRDefault="00090651" w:rsidP="00F2122C">
      <w:pPr>
        <w:pStyle w:val="Bullets"/>
        <w:spacing w:after="60"/>
        <w:ind w:left="567" w:hanging="567"/>
        <w:rPr>
          <w:rFonts w:ascii="Arial" w:hAnsi="Arial" w:cs="Arial"/>
        </w:rPr>
      </w:pPr>
      <w:r w:rsidRPr="00095D74">
        <w:rPr>
          <w:rFonts w:ascii="Arial" w:hAnsi="Arial" w:cs="Arial"/>
        </w:rPr>
        <w:t>Using a system to categorise events enables you to identify trends and patterns which then support CQI activities for system and process improvement</w:t>
      </w:r>
      <w:r w:rsidR="00CC51AB">
        <w:rPr>
          <w:rFonts w:ascii="Arial" w:hAnsi="Arial" w:cs="Arial"/>
        </w:rPr>
        <w:t>.</w:t>
      </w:r>
    </w:p>
    <w:p w14:paraId="5BF53375" w14:textId="4731408B" w:rsidR="00090651" w:rsidRPr="00095D74" w:rsidRDefault="00090651" w:rsidP="00F2122C">
      <w:pPr>
        <w:pStyle w:val="Bullets"/>
        <w:spacing w:after="60"/>
        <w:ind w:left="567" w:hanging="567"/>
        <w:rPr>
          <w:rFonts w:ascii="Arial" w:hAnsi="Arial" w:cs="Arial"/>
        </w:rPr>
      </w:pPr>
      <w:r w:rsidRPr="00095D74">
        <w:rPr>
          <w:rFonts w:ascii="Arial" w:hAnsi="Arial" w:cs="Arial"/>
        </w:rPr>
        <w:t xml:space="preserve">Using a risk level measurement (also referred to as the Severity Assessment Code (SAC)) will assist your practice in determining the level of risk of an incident and to assist in determining the level of investigation required. See </w:t>
      </w:r>
      <w:hyperlink r:id="rId203" w:history="1">
        <w:r w:rsidRPr="00095D74">
          <w:rPr>
            <w:rFonts w:ascii="Arial" w:hAnsi="Arial" w:cs="Arial"/>
          </w:rPr>
          <w:t>HQSC Severity Assessment Code tables</w:t>
        </w:r>
      </w:hyperlink>
      <w:r w:rsidR="00CC51AB">
        <w:rPr>
          <w:rFonts w:ascii="Arial" w:hAnsi="Arial" w:cs="Arial"/>
        </w:rPr>
        <w:t>.</w:t>
      </w:r>
    </w:p>
    <w:p w14:paraId="68C3EA2A" w14:textId="77777777" w:rsidR="00090651" w:rsidRPr="00095D74" w:rsidRDefault="00090651" w:rsidP="00F2122C">
      <w:pPr>
        <w:pStyle w:val="Bullets"/>
        <w:spacing w:after="60"/>
        <w:ind w:left="567" w:hanging="567"/>
        <w:rPr>
          <w:rFonts w:ascii="Arial" w:hAnsi="Arial" w:cs="Arial"/>
        </w:rPr>
      </w:pPr>
      <w:r w:rsidRPr="00095D74">
        <w:rPr>
          <w:rFonts w:ascii="Arial" w:hAnsi="Arial" w:cs="Arial"/>
        </w:rPr>
        <w:t xml:space="preserve">Using a register or log (preferably electronic) enables you to monitor trends and processes in your practice that may need adjustment or change to reduce potential risk. </w:t>
      </w:r>
    </w:p>
    <w:p w14:paraId="3EFB4538" w14:textId="431E1D39" w:rsidR="00090651" w:rsidRPr="008B3D35" w:rsidRDefault="00090651" w:rsidP="009A0AB1">
      <w:pPr>
        <w:pStyle w:val="HHLBodyText"/>
        <w:spacing w:before="240"/>
        <w:rPr>
          <w:i/>
        </w:rPr>
      </w:pPr>
      <w:r w:rsidRPr="008B3D35">
        <w:rPr>
          <w:i/>
        </w:rPr>
        <w:t>Benefits of a good system include:</w:t>
      </w:r>
    </w:p>
    <w:p w14:paraId="489B47C4" w14:textId="478601D1" w:rsidR="00090651" w:rsidRPr="00095D74" w:rsidRDefault="009A0AB1" w:rsidP="00F2122C">
      <w:pPr>
        <w:pStyle w:val="Bullets"/>
        <w:spacing w:after="60"/>
        <w:ind w:left="567" w:hanging="567"/>
        <w:rPr>
          <w:rFonts w:ascii="Arial" w:hAnsi="Arial" w:cs="Arial"/>
        </w:rPr>
      </w:pPr>
      <w:r>
        <w:rPr>
          <w:rFonts w:ascii="Arial" w:hAnsi="Arial" w:cs="Arial"/>
        </w:rPr>
        <w:t>G</w:t>
      </w:r>
      <w:r w:rsidR="00090651" w:rsidRPr="00095D74">
        <w:rPr>
          <w:rFonts w:ascii="Arial" w:hAnsi="Arial" w:cs="Arial"/>
        </w:rPr>
        <w:t>reater support for individual general practices or business units to meet legislative, industry or best practice requirements for recording, investigating and reporting incidents as necessary</w:t>
      </w:r>
      <w:r w:rsidR="00CC51AB">
        <w:rPr>
          <w:rFonts w:ascii="Arial" w:hAnsi="Arial" w:cs="Arial"/>
        </w:rPr>
        <w:t>.</w:t>
      </w:r>
    </w:p>
    <w:p w14:paraId="081CFC8E" w14:textId="2A89306E" w:rsidR="00090651" w:rsidRPr="00095D74" w:rsidRDefault="00CC51AB" w:rsidP="00F2122C">
      <w:pPr>
        <w:pStyle w:val="Bullets"/>
        <w:spacing w:after="60"/>
        <w:ind w:left="567" w:hanging="567"/>
        <w:rPr>
          <w:rFonts w:ascii="Arial" w:hAnsi="Arial" w:cs="Arial"/>
        </w:rPr>
      </w:pPr>
      <w:r>
        <w:rPr>
          <w:rFonts w:ascii="Arial" w:hAnsi="Arial" w:cs="Arial"/>
        </w:rPr>
        <w:t>I</w:t>
      </w:r>
      <w:r w:rsidR="00090651" w:rsidRPr="00095D74">
        <w:rPr>
          <w:rFonts w:ascii="Arial" w:hAnsi="Arial" w:cs="Arial"/>
        </w:rPr>
        <w:t>ncreased levels of understanding about key areas of risk that can be addressed to minimise harm/loss</w:t>
      </w:r>
      <w:r>
        <w:rPr>
          <w:rFonts w:ascii="Arial" w:hAnsi="Arial" w:cs="Arial"/>
        </w:rPr>
        <w:t>.</w:t>
      </w:r>
    </w:p>
    <w:p w14:paraId="5B117899" w14:textId="131BEB39" w:rsidR="00090651" w:rsidRPr="00095D74" w:rsidRDefault="00CC51AB" w:rsidP="00F2122C">
      <w:pPr>
        <w:pStyle w:val="Bullets"/>
        <w:spacing w:after="60"/>
        <w:ind w:left="567" w:hanging="567"/>
        <w:rPr>
          <w:rFonts w:ascii="Arial" w:hAnsi="Arial" w:cs="Arial"/>
        </w:rPr>
      </w:pPr>
      <w:r>
        <w:rPr>
          <w:rFonts w:ascii="Arial" w:hAnsi="Arial" w:cs="Arial"/>
        </w:rPr>
        <w:t>S</w:t>
      </w:r>
      <w:r w:rsidR="00090651" w:rsidRPr="00095D74">
        <w:rPr>
          <w:rFonts w:ascii="Arial" w:hAnsi="Arial" w:cs="Arial"/>
        </w:rPr>
        <w:t>hared lessons leading to greater patient safety (and safety of staff too)</w:t>
      </w:r>
      <w:r w:rsidR="004F3679">
        <w:rPr>
          <w:rFonts w:ascii="Arial" w:hAnsi="Arial" w:cs="Arial"/>
        </w:rPr>
        <w:t>.</w:t>
      </w:r>
    </w:p>
    <w:p w14:paraId="484C7B72" w14:textId="2580827C" w:rsidR="00090651" w:rsidRPr="00095D74" w:rsidRDefault="00CC51AB" w:rsidP="00F2122C">
      <w:pPr>
        <w:pStyle w:val="Bullets"/>
        <w:spacing w:after="60"/>
        <w:ind w:left="567" w:hanging="567"/>
        <w:rPr>
          <w:rFonts w:ascii="Arial" w:hAnsi="Arial" w:cs="Arial"/>
        </w:rPr>
      </w:pPr>
      <w:r>
        <w:rPr>
          <w:rFonts w:ascii="Arial" w:hAnsi="Arial" w:cs="Arial"/>
        </w:rPr>
        <w:t>E</w:t>
      </w:r>
      <w:r w:rsidR="00090651" w:rsidRPr="00095D74">
        <w:rPr>
          <w:rFonts w:ascii="Arial" w:hAnsi="Arial" w:cs="Arial"/>
        </w:rPr>
        <w:t>nhanced reputation and transparency of continuous improvement across the health sector</w:t>
      </w:r>
      <w:r>
        <w:rPr>
          <w:rFonts w:ascii="Arial" w:hAnsi="Arial" w:cs="Arial"/>
        </w:rPr>
        <w:t>.</w:t>
      </w:r>
    </w:p>
    <w:p w14:paraId="3928938A" w14:textId="6EFEE772" w:rsidR="00090651" w:rsidRPr="00095D74" w:rsidRDefault="00CC51AB" w:rsidP="00F2122C">
      <w:pPr>
        <w:pStyle w:val="Bullets"/>
        <w:spacing w:after="60"/>
        <w:ind w:left="567" w:hanging="567"/>
        <w:rPr>
          <w:rFonts w:ascii="Arial" w:hAnsi="Arial" w:cs="Arial"/>
        </w:rPr>
      </w:pPr>
      <w:r>
        <w:rPr>
          <w:rFonts w:ascii="Arial" w:hAnsi="Arial" w:cs="Arial"/>
        </w:rPr>
        <w:t>I</w:t>
      </w:r>
      <w:r w:rsidR="00090651" w:rsidRPr="00095D74">
        <w:rPr>
          <w:rFonts w:ascii="Arial" w:hAnsi="Arial" w:cs="Arial"/>
        </w:rPr>
        <w:t>ncreased accountability to governance mechanisms through more comprehensive standardised reporting</w:t>
      </w:r>
      <w:r>
        <w:rPr>
          <w:rFonts w:ascii="Arial" w:hAnsi="Arial" w:cs="Arial"/>
        </w:rPr>
        <w:t>.</w:t>
      </w:r>
    </w:p>
    <w:p w14:paraId="64B0E7C7" w14:textId="1A465183" w:rsidR="00090651" w:rsidRPr="00095D74" w:rsidRDefault="00CC51AB" w:rsidP="00F2122C">
      <w:pPr>
        <w:pStyle w:val="Bullets"/>
        <w:spacing w:after="60"/>
        <w:ind w:left="567" w:hanging="567"/>
        <w:rPr>
          <w:rFonts w:ascii="Arial" w:hAnsi="Arial" w:cs="Arial"/>
        </w:rPr>
      </w:pPr>
      <w:r>
        <w:rPr>
          <w:rFonts w:ascii="Arial" w:hAnsi="Arial" w:cs="Arial"/>
        </w:rPr>
        <w:t>M</w:t>
      </w:r>
      <w:r w:rsidR="00090651" w:rsidRPr="00095D74">
        <w:rPr>
          <w:rFonts w:ascii="Arial" w:hAnsi="Arial" w:cs="Arial"/>
        </w:rPr>
        <w:t xml:space="preserve">itigating risk of liability. </w:t>
      </w:r>
    </w:p>
    <w:p w14:paraId="71B8A48B" w14:textId="77777777" w:rsidR="00090651" w:rsidRPr="008B3D35" w:rsidRDefault="00090651" w:rsidP="009A0AB1">
      <w:pPr>
        <w:pStyle w:val="HHLBodyText"/>
        <w:spacing w:before="240"/>
        <w:rPr>
          <w:i/>
        </w:rPr>
      </w:pPr>
      <w:r w:rsidRPr="008B3D35">
        <w:rPr>
          <w:i/>
        </w:rPr>
        <w:t>Reporting of adverse drug reactions (ADR)</w:t>
      </w:r>
    </w:p>
    <w:p w14:paraId="538D4DE0" w14:textId="2867952D" w:rsidR="00090651" w:rsidRPr="005B2E21" w:rsidRDefault="00090651" w:rsidP="00090651">
      <w:pPr>
        <w:rPr>
          <w:color w:val="auto"/>
          <w:sz w:val="22"/>
          <w:szCs w:val="22"/>
        </w:rPr>
      </w:pPr>
      <w:r w:rsidRPr="009A0AB1">
        <w:rPr>
          <w:color w:val="auto"/>
          <w:sz w:val="22"/>
          <w:szCs w:val="22"/>
        </w:rPr>
        <w:t>Reporting adverse drug reactions (ADR) is a clinical responsibility that enables centralised national monitoring of</w:t>
      </w:r>
      <w:r w:rsidRPr="009A0AB1">
        <w:rPr>
          <w:color w:val="auto"/>
        </w:rPr>
        <w:t xml:space="preserve"> </w:t>
      </w:r>
      <w:r w:rsidRPr="005B2E21">
        <w:rPr>
          <w:color w:val="auto"/>
          <w:sz w:val="22"/>
          <w:szCs w:val="22"/>
        </w:rPr>
        <w:t xml:space="preserve">medication reactions by the </w:t>
      </w:r>
      <w:hyperlink r:id="rId204" w:history="1">
        <w:r w:rsidRPr="005B2E21">
          <w:rPr>
            <w:color w:val="auto"/>
            <w:sz w:val="22"/>
            <w:szCs w:val="22"/>
          </w:rPr>
          <w:t xml:space="preserve">New Zealand </w:t>
        </w:r>
      </w:hyperlink>
      <w:r w:rsidRPr="005B2E21">
        <w:rPr>
          <w:color w:val="auto"/>
          <w:sz w:val="22"/>
          <w:szCs w:val="22"/>
        </w:rPr>
        <w:t xml:space="preserve">Pharmacovigilance Centre. This includes several monitoring agencies such as </w:t>
      </w:r>
      <w:hyperlink r:id="rId205" w:history="1">
        <w:r w:rsidRPr="005B2E21">
          <w:rPr>
            <w:color w:val="auto"/>
            <w:sz w:val="22"/>
            <w:szCs w:val="22"/>
          </w:rPr>
          <w:t>CARM (Centre for Adverse Reactions Monitoring)</w:t>
        </w:r>
      </w:hyperlink>
      <w:r w:rsidRPr="005B2E21">
        <w:rPr>
          <w:color w:val="auto"/>
          <w:sz w:val="22"/>
          <w:szCs w:val="22"/>
        </w:rPr>
        <w:t xml:space="preserve">, </w:t>
      </w:r>
      <w:hyperlink r:id="rId206" w:history="1"/>
      <w:hyperlink r:id="rId207" w:history="1">
        <w:r w:rsidRPr="005B2E21">
          <w:rPr>
            <w:color w:val="auto"/>
            <w:sz w:val="22"/>
            <w:szCs w:val="22"/>
          </w:rPr>
          <w:t>Psychoactive Substances, Recreational Substances and Legal Highs</w:t>
        </w:r>
      </w:hyperlink>
      <w:r w:rsidRPr="005B2E21">
        <w:rPr>
          <w:color w:val="auto"/>
          <w:sz w:val="22"/>
          <w:szCs w:val="22"/>
        </w:rPr>
        <w:t>.</w:t>
      </w:r>
    </w:p>
    <w:p w14:paraId="29ACAEE6" w14:textId="722EF386" w:rsidR="00090651" w:rsidRPr="005B2E21" w:rsidRDefault="00090651" w:rsidP="005B2E21">
      <w:pPr>
        <w:spacing w:after="120"/>
        <w:rPr>
          <w:color w:val="auto"/>
          <w:sz w:val="22"/>
          <w:szCs w:val="22"/>
        </w:rPr>
      </w:pPr>
      <w:r w:rsidRPr="005B2E21">
        <w:rPr>
          <w:color w:val="auto"/>
          <w:sz w:val="22"/>
          <w:szCs w:val="22"/>
        </w:rPr>
        <w:t xml:space="preserve">Reporting to these agencies can be done via several methods – online and hardcopy. See </w:t>
      </w:r>
      <w:hyperlink r:id="rId208" w:history="1">
        <w:r w:rsidRPr="005B2E21">
          <w:rPr>
            <w:color w:val="auto"/>
            <w:sz w:val="22"/>
            <w:szCs w:val="22"/>
          </w:rPr>
          <w:t>How to Report</w:t>
        </w:r>
      </w:hyperlink>
      <w:r w:rsidRPr="005B2E21">
        <w:rPr>
          <w:color w:val="auto"/>
          <w:sz w:val="22"/>
          <w:szCs w:val="22"/>
        </w:rPr>
        <w:t>.</w:t>
      </w:r>
    </w:p>
    <w:p w14:paraId="7C43A0B6" w14:textId="77777777" w:rsidR="0040094C" w:rsidRDefault="0040094C" w:rsidP="009A0AB1">
      <w:pPr>
        <w:pStyle w:val="HHLBodyText"/>
        <w:spacing w:before="240"/>
        <w:rPr>
          <w:i/>
        </w:rPr>
      </w:pPr>
      <w:r w:rsidRPr="00134BB9">
        <w:rPr>
          <w:i/>
        </w:rPr>
        <w:t>Reporting of Serious Adverse Events (SAC 1 or 2 rated serious harm to patients)</w:t>
      </w:r>
    </w:p>
    <w:p w14:paraId="497956F5" w14:textId="77777777" w:rsidR="0040094C" w:rsidRPr="005B2E21" w:rsidRDefault="0040094C" w:rsidP="005B2E21">
      <w:pPr>
        <w:spacing w:after="120"/>
        <w:rPr>
          <w:color w:val="auto"/>
          <w:sz w:val="22"/>
          <w:szCs w:val="22"/>
        </w:rPr>
      </w:pPr>
      <w:r w:rsidRPr="005B2E21">
        <w:rPr>
          <w:color w:val="auto"/>
          <w:sz w:val="22"/>
          <w:szCs w:val="22"/>
        </w:rPr>
        <w:t xml:space="preserve">In New Zealand, reporting of adverse events and near misses is guided by the National Adverse Events Reporting Policy 2017 (‘the Policy’).3 The Policy supports a nationally consistent approach to reporting, review and learning from adverse events and near misses. Under the Policy, health and disability service providers with obligations under the Health and Disability Services (Safety) Act 2001, and those who voluntarily comply, are expected to (a) notify the Health Quality &amp; Safety Commission (‘the Commission’) of serious adverse events and (b) provide the Commission with findings and recommendations from review of these events to enable national learning. </w:t>
      </w:r>
    </w:p>
    <w:p w14:paraId="47BCC0E4" w14:textId="51696ED4" w:rsidR="003A37AD" w:rsidRPr="005B2E21" w:rsidRDefault="0040094C" w:rsidP="005B2E21">
      <w:pPr>
        <w:spacing w:after="120"/>
        <w:rPr>
          <w:color w:val="auto"/>
          <w:sz w:val="22"/>
          <w:szCs w:val="22"/>
        </w:rPr>
      </w:pPr>
      <w:r w:rsidRPr="005B2E21">
        <w:rPr>
          <w:color w:val="auto"/>
          <w:sz w:val="22"/>
          <w:szCs w:val="22"/>
        </w:rPr>
        <w:lastRenderedPageBreak/>
        <w:t xml:space="preserve">Primary care is not explicitly required to report serious adverse events. However, the </w:t>
      </w:r>
      <w:r w:rsidR="00715426" w:rsidRPr="005B2E21">
        <w:rPr>
          <w:color w:val="auto"/>
          <w:sz w:val="22"/>
          <w:szCs w:val="22"/>
        </w:rPr>
        <w:t xml:space="preserve">HQSC </w:t>
      </w:r>
      <w:r w:rsidRPr="005B2E21">
        <w:rPr>
          <w:color w:val="auto"/>
          <w:sz w:val="22"/>
          <w:szCs w:val="22"/>
        </w:rPr>
        <w:t>National Policy supports nationally consistent reporting, review and learning across the whole health and disability sector, including a single policy and reporting process for events that occur in different parts of the sector and therefore reporting is encouraged.</w:t>
      </w:r>
      <w:r w:rsidR="003A37AD" w:rsidRPr="005B2E21">
        <w:rPr>
          <w:color w:val="auto"/>
          <w:sz w:val="22"/>
          <w:szCs w:val="22"/>
        </w:rPr>
        <w:t xml:space="preserve"> </w:t>
      </w:r>
    </w:p>
    <w:p w14:paraId="2F40D3CE" w14:textId="77777777" w:rsidR="003A37AD" w:rsidRPr="005B2E21" w:rsidRDefault="003A37AD" w:rsidP="005B2E21">
      <w:pPr>
        <w:spacing w:after="120"/>
        <w:rPr>
          <w:color w:val="auto"/>
          <w:sz w:val="22"/>
          <w:szCs w:val="22"/>
        </w:rPr>
      </w:pPr>
      <w:r w:rsidRPr="005B2E21">
        <w:rPr>
          <w:color w:val="auto"/>
          <w:sz w:val="22"/>
          <w:szCs w:val="22"/>
        </w:rPr>
        <w:t xml:space="preserve">It can be a good idea to work with your PHO/Network when significant incidents occur. This can enable support with the investigation and management of incidents while providing learning into and out of the practice in order to improve patient safety across the health sector. </w:t>
      </w:r>
    </w:p>
    <w:p w14:paraId="7D0519D3" w14:textId="77777777" w:rsidR="003A37AD" w:rsidRDefault="003A37AD" w:rsidP="0040094C"/>
    <w:p w14:paraId="0E415AC3" w14:textId="77777777" w:rsidR="0040094C" w:rsidRDefault="0040094C" w:rsidP="00090651"/>
    <w:p w14:paraId="3D10E870" w14:textId="530609A4" w:rsidR="009C798E" w:rsidRPr="00090651" w:rsidRDefault="009C798E" w:rsidP="00090651">
      <w:r w:rsidRPr="00A81435">
        <w:rPr>
          <w:b/>
          <w:color w:val="auto"/>
          <w:sz w:val="22"/>
          <w:szCs w:val="22"/>
        </w:rPr>
        <w:t>Resources</w:t>
      </w:r>
    </w:p>
    <w:p w14:paraId="040D3107" w14:textId="77777777" w:rsidR="00090651" w:rsidRPr="00D550B0" w:rsidRDefault="00090651" w:rsidP="0024030C">
      <w:pPr>
        <w:pStyle w:val="Resourcelist"/>
        <w:spacing w:after="120"/>
        <w:rPr>
          <w:rStyle w:val="Hyperlink"/>
          <w:rFonts w:ascii="Arial" w:hAnsi="Arial" w:cs="Arial"/>
          <w:color w:val="0000FF"/>
        </w:rPr>
      </w:pPr>
      <w:r w:rsidRPr="00D550B0">
        <w:rPr>
          <w:rStyle w:val="Hyperlink"/>
          <w:rFonts w:ascii="Arial" w:hAnsi="Arial" w:cs="Arial"/>
          <w:color w:val="0000FF"/>
        </w:rPr>
        <w:fldChar w:fldCharType="begin"/>
      </w:r>
      <w:r w:rsidRPr="00D550B0">
        <w:rPr>
          <w:rStyle w:val="Hyperlink"/>
          <w:rFonts w:ascii="Arial" w:hAnsi="Arial" w:cs="Arial"/>
          <w:color w:val="0000FF"/>
        </w:rPr>
        <w:instrText>HYPERLINK  "https://nzphvc.otago.ac.nz/carm/"</w:instrText>
      </w:r>
      <w:r w:rsidRPr="00D550B0">
        <w:rPr>
          <w:rStyle w:val="Hyperlink"/>
          <w:rFonts w:ascii="Arial" w:hAnsi="Arial" w:cs="Arial"/>
          <w:color w:val="0000FF"/>
        </w:rPr>
        <w:fldChar w:fldCharType="separate"/>
      </w:r>
      <w:r w:rsidRPr="00D550B0">
        <w:rPr>
          <w:rStyle w:val="Hyperlink"/>
          <w:rFonts w:ascii="Arial" w:hAnsi="Arial" w:cs="Arial"/>
          <w:color w:val="0000FF"/>
        </w:rPr>
        <w:t>The Centre for Adverse Reactions Monitoring (CARM) – accessed through the NZ Pharmacovigilance Centre’s website</w:t>
      </w:r>
    </w:p>
    <w:p w14:paraId="75737AB5" w14:textId="4B2351E8" w:rsidR="00090651" w:rsidRPr="00D550B0" w:rsidRDefault="00090651" w:rsidP="0024030C">
      <w:pPr>
        <w:pStyle w:val="Resourcelist"/>
        <w:spacing w:after="120"/>
        <w:rPr>
          <w:rStyle w:val="Hyperlink"/>
          <w:rFonts w:ascii="Arial" w:hAnsi="Arial" w:cs="Arial"/>
          <w:color w:val="0000FF"/>
        </w:rPr>
      </w:pPr>
      <w:r w:rsidRPr="00D550B0">
        <w:rPr>
          <w:rStyle w:val="Hyperlink"/>
          <w:rFonts w:ascii="Arial" w:hAnsi="Arial" w:cs="Arial"/>
          <w:color w:val="0000FF"/>
        </w:rPr>
        <w:fldChar w:fldCharType="end"/>
      </w:r>
      <w:hyperlink r:id="rId209" w:history="1">
        <w:r w:rsidRPr="00D550B0">
          <w:rPr>
            <w:rStyle w:val="Hyperlink"/>
            <w:rFonts w:ascii="Arial" w:hAnsi="Arial" w:cs="Arial"/>
            <w:color w:val="0000FF"/>
          </w:rPr>
          <w:t>HQSC: Adverse Events</w:t>
        </w:r>
      </w:hyperlink>
    </w:p>
    <w:p w14:paraId="60446BBB" w14:textId="31D5398F" w:rsidR="00DF6538" w:rsidRPr="00C55F31" w:rsidRDefault="00B83D84" w:rsidP="00F2122C">
      <w:pPr>
        <w:pStyle w:val="HHLSubHeading"/>
        <w:numPr>
          <w:ilvl w:val="0"/>
          <w:numId w:val="0"/>
        </w:numPr>
        <w:tabs>
          <w:tab w:val="left" w:pos="1560"/>
        </w:tabs>
      </w:pPr>
      <w:r>
        <w:rPr>
          <w:b w:val="0"/>
        </w:rPr>
        <w:br w:type="page"/>
      </w:r>
      <w:bookmarkStart w:id="75" w:name="_Toc6998692"/>
      <w:r w:rsidR="00697C30" w:rsidRPr="00C55F31">
        <w:lastRenderedPageBreak/>
        <w:t>Indicator 2</w:t>
      </w:r>
      <w:r w:rsidR="009E3521">
        <w:t>8</w:t>
      </w:r>
      <w:r w:rsidR="00697C30" w:rsidRPr="00C55F31">
        <w:t>.</w:t>
      </w:r>
      <w:r w:rsidR="00F2122C">
        <w:tab/>
      </w:r>
      <w:r w:rsidR="00DF6538" w:rsidRPr="00C55F31">
        <w:t>Emergency and service disruption</w:t>
      </w:r>
      <w:bookmarkEnd w:id="75"/>
    </w:p>
    <w:p w14:paraId="0EB321C5" w14:textId="6CF7249C" w:rsidR="00697C30" w:rsidRPr="00DF6538" w:rsidRDefault="00697C30" w:rsidP="00DF6538">
      <w:pPr>
        <w:pStyle w:val="HHLBodyText"/>
        <w:rPr>
          <w:b/>
        </w:rPr>
      </w:pPr>
      <w:r w:rsidRPr="00DF6538">
        <w:rPr>
          <w:b/>
        </w:rPr>
        <w:t>Our practice has</w:t>
      </w:r>
      <w:r w:rsidR="00FC6886" w:rsidRPr="00DF6538">
        <w:rPr>
          <w:b/>
        </w:rPr>
        <w:t xml:space="preserve"> a planned response to an emergency or significant service disruption.</w:t>
      </w:r>
    </w:p>
    <w:tbl>
      <w:tblPr>
        <w:tblStyle w:val="TableGrid1"/>
        <w:tblW w:w="0" w:type="auto"/>
        <w:tblLook w:val="04A0" w:firstRow="1" w:lastRow="0" w:firstColumn="1" w:lastColumn="0" w:noHBand="0" w:noVBand="1"/>
      </w:tblPr>
      <w:tblGrid>
        <w:gridCol w:w="1152"/>
        <w:gridCol w:w="4538"/>
        <w:gridCol w:w="4052"/>
      </w:tblGrid>
      <w:tr w:rsidR="00697C30" w:rsidRPr="00A81435" w14:paraId="7E10B064" w14:textId="77777777" w:rsidTr="00185102">
        <w:tc>
          <w:tcPr>
            <w:tcW w:w="1153" w:type="dxa"/>
            <w:shd w:val="clear" w:color="auto" w:fill="FBD4B4" w:themeFill="accent6" w:themeFillTint="66"/>
          </w:tcPr>
          <w:p w14:paraId="09233585" w14:textId="77777777" w:rsidR="00697C30" w:rsidRPr="00A81435" w:rsidRDefault="00697C30" w:rsidP="00185102">
            <w:pPr>
              <w:spacing w:before="120" w:after="120"/>
              <w:rPr>
                <w:b/>
                <w:color w:val="auto"/>
                <w:sz w:val="22"/>
                <w:szCs w:val="22"/>
              </w:rPr>
            </w:pPr>
            <w:r w:rsidRPr="00A81435">
              <w:rPr>
                <w:b/>
                <w:color w:val="auto"/>
                <w:sz w:val="22"/>
                <w:szCs w:val="22"/>
              </w:rPr>
              <w:t xml:space="preserve">Criteria </w:t>
            </w:r>
          </w:p>
        </w:tc>
        <w:tc>
          <w:tcPr>
            <w:tcW w:w="4568" w:type="dxa"/>
            <w:shd w:val="clear" w:color="auto" w:fill="FBD4B4" w:themeFill="accent6" w:themeFillTint="66"/>
          </w:tcPr>
          <w:p w14:paraId="26C8F693" w14:textId="77777777" w:rsidR="00697C30" w:rsidRPr="00A81435" w:rsidRDefault="00697C30" w:rsidP="00185102">
            <w:pPr>
              <w:spacing w:before="120" w:after="120"/>
              <w:rPr>
                <w:b/>
                <w:color w:val="auto"/>
                <w:sz w:val="22"/>
                <w:szCs w:val="22"/>
              </w:rPr>
            </w:pPr>
            <w:r w:rsidRPr="00A81435">
              <w:rPr>
                <w:b/>
                <w:color w:val="auto"/>
                <w:sz w:val="22"/>
                <w:szCs w:val="22"/>
              </w:rPr>
              <w:t>Your practice is required to:</w:t>
            </w:r>
          </w:p>
        </w:tc>
        <w:tc>
          <w:tcPr>
            <w:tcW w:w="4075" w:type="dxa"/>
            <w:shd w:val="clear" w:color="auto" w:fill="FBD4B4" w:themeFill="accent6" w:themeFillTint="66"/>
          </w:tcPr>
          <w:p w14:paraId="06A83548" w14:textId="2E40ADE8" w:rsidR="00697C30" w:rsidRPr="00A81435" w:rsidRDefault="00697C30" w:rsidP="00185102">
            <w:pPr>
              <w:spacing w:before="120" w:after="120"/>
              <w:rPr>
                <w:b/>
                <w:color w:val="auto"/>
                <w:sz w:val="22"/>
                <w:szCs w:val="22"/>
              </w:rPr>
            </w:pPr>
            <w:r w:rsidRPr="00A81435">
              <w:rPr>
                <w:b/>
                <w:color w:val="auto"/>
                <w:sz w:val="22"/>
                <w:szCs w:val="22"/>
              </w:rPr>
              <w:t>Required evidence</w:t>
            </w:r>
          </w:p>
        </w:tc>
      </w:tr>
      <w:tr w:rsidR="00697C30" w:rsidRPr="00A81435" w14:paraId="5711C0C2" w14:textId="77777777" w:rsidTr="00185102">
        <w:tc>
          <w:tcPr>
            <w:tcW w:w="1153" w:type="dxa"/>
          </w:tcPr>
          <w:p w14:paraId="614BF718" w14:textId="7D52A986" w:rsidR="00697C30" w:rsidRPr="00A81435" w:rsidRDefault="00697C30" w:rsidP="00185102">
            <w:pPr>
              <w:spacing w:before="60"/>
              <w:rPr>
                <w:color w:val="auto"/>
                <w:sz w:val="22"/>
                <w:szCs w:val="22"/>
              </w:rPr>
            </w:pPr>
            <w:r>
              <w:rPr>
                <w:color w:val="auto"/>
                <w:sz w:val="22"/>
                <w:szCs w:val="22"/>
              </w:rPr>
              <w:t>2</w:t>
            </w:r>
            <w:r w:rsidR="009E3521">
              <w:rPr>
                <w:color w:val="auto"/>
                <w:sz w:val="22"/>
                <w:szCs w:val="22"/>
              </w:rPr>
              <w:t>8</w:t>
            </w:r>
            <w:r w:rsidRPr="00A81435">
              <w:rPr>
                <w:color w:val="auto"/>
                <w:sz w:val="22"/>
                <w:szCs w:val="22"/>
              </w:rPr>
              <w:t>.1</w:t>
            </w:r>
          </w:p>
        </w:tc>
        <w:tc>
          <w:tcPr>
            <w:tcW w:w="4568" w:type="dxa"/>
          </w:tcPr>
          <w:p w14:paraId="2651FE3E" w14:textId="62DE3FEF" w:rsidR="00697C30" w:rsidRPr="00185102" w:rsidRDefault="00C87380" w:rsidP="00185102">
            <w:pPr>
              <w:tabs>
                <w:tab w:val="left" w:pos="151"/>
              </w:tabs>
              <w:spacing w:before="60"/>
              <w:rPr>
                <w:rFonts w:cs="Arial"/>
                <w:color w:val="auto"/>
                <w:sz w:val="22"/>
                <w:szCs w:val="22"/>
              </w:rPr>
            </w:pPr>
            <w:r>
              <w:rPr>
                <w:rFonts w:cs="Arial"/>
                <w:color w:val="auto"/>
                <w:sz w:val="22"/>
                <w:szCs w:val="22"/>
              </w:rPr>
              <w:t>Ensure they can</w:t>
            </w:r>
            <w:r w:rsidR="00F64236">
              <w:rPr>
                <w:rFonts w:cs="Arial"/>
                <w:color w:val="auto"/>
                <w:sz w:val="22"/>
                <w:szCs w:val="22"/>
              </w:rPr>
              <w:t xml:space="preserve"> </w:t>
            </w:r>
            <w:r w:rsidR="00FC6886" w:rsidRPr="00185102">
              <w:rPr>
                <w:rFonts w:cs="Arial"/>
                <w:color w:val="auto"/>
                <w:sz w:val="22"/>
                <w:szCs w:val="22"/>
              </w:rPr>
              <w:t>prioritise</w:t>
            </w:r>
            <w:r>
              <w:rPr>
                <w:rFonts w:cs="Arial"/>
                <w:color w:val="auto"/>
                <w:sz w:val="22"/>
                <w:szCs w:val="22"/>
              </w:rPr>
              <w:t>,</w:t>
            </w:r>
            <w:r w:rsidR="00FC6886" w:rsidRPr="00185102">
              <w:rPr>
                <w:rFonts w:cs="Arial"/>
                <w:color w:val="auto"/>
                <w:sz w:val="22"/>
                <w:szCs w:val="22"/>
              </w:rPr>
              <w:t xml:space="preserve"> support and recover critical and non-critical functions</w:t>
            </w:r>
            <w:r w:rsidR="00306D2A">
              <w:rPr>
                <w:rFonts w:cs="Arial"/>
                <w:color w:val="auto"/>
                <w:sz w:val="22"/>
                <w:szCs w:val="22"/>
              </w:rPr>
              <w:t xml:space="preserve"> following an emergency or service disruption</w:t>
            </w:r>
            <w:r w:rsidR="00185102">
              <w:rPr>
                <w:rFonts w:cs="Arial"/>
                <w:color w:val="auto"/>
                <w:sz w:val="22"/>
                <w:szCs w:val="22"/>
              </w:rPr>
              <w:t>.</w:t>
            </w:r>
          </w:p>
        </w:tc>
        <w:tc>
          <w:tcPr>
            <w:tcW w:w="4075" w:type="dxa"/>
          </w:tcPr>
          <w:p w14:paraId="1E2B729D" w14:textId="66294DE9" w:rsidR="00AD7AF7" w:rsidRPr="00AD7AF7" w:rsidRDefault="00521F2D" w:rsidP="00AD7AF7">
            <w:pPr>
              <w:spacing w:before="60"/>
              <w:rPr>
                <w:color w:val="auto"/>
                <w:sz w:val="22"/>
                <w:szCs w:val="22"/>
              </w:rPr>
            </w:pPr>
            <w:r>
              <w:rPr>
                <w:color w:val="auto"/>
                <w:sz w:val="22"/>
                <w:szCs w:val="22"/>
              </w:rPr>
              <w:t>A d</w:t>
            </w:r>
            <w:r w:rsidR="009C656B">
              <w:rPr>
                <w:color w:val="auto"/>
                <w:sz w:val="22"/>
                <w:szCs w:val="22"/>
              </w:rPr>
              <w:t>ocumented</w:t>
            </w:r>
            <w:r w:rsidR="00AD7AF7">
              <w:rPr>
                <w:color w:val="auto"/>
                <w:sz w:val="22"/>
                <w:szCs w:val="22"/>
              </w:rPr>
              <w:t xml:space="preserve"> </w:t>
            </w:r>
            <w:r w:rsidR="00AD7AF7" w:rsidRPr="00AD7AF7">
              <w:rPr>
                <w:color w:val="auto"/>
                <w:sz w:val="22"/>
                <w:szCs w:val="22"/>
              </w:rPr>
              <w:t>Business Continuity Plan</w:t>
            </w:r>
            <w:r w:rsidR="0075253A">
              <w:rPr>
                <w:color w:val="auto"/>
                <w:sz w:val="22"/>
                <w:szCs w:val="22"/>
              </w:rPr>
              <w:t>.</w:t>
            </w:r>
            <w:r w:rsidR="00AD7AF7" w:rsidRPr="00AD7AF7">
              <w:rPr>
                <w:color w:val="auto"/>
                <w:sz w:val="22"/>
                <w:szCs w:val="22"/>
              </w:rPr>
              <w:t xml:space="preserve"> </w:t>
            </w:r>
          </w:p>
          <w:p w14:paraId="329346D9" w14:textId="6D43F44B" w:rsidR="00697C30" w:rsidRPr="00185102" w:rsidRDefault="00521F2D" w:rsidP="00AD7AF7">
            <w:pPr>
              <w:spacing w:before="60"/>
              <w:rPr>
                <w:color w:val="auto"/>
                <w:sz w:val="22"/>
                <w:szCs w:val="22"/>
              </w:rPr>
            </w:pPr>
            <w:r>
              <w:rPr>
                <w:color w:val="auto"/>
                <w:sz w:val="22"/>
                <w:szCs w:val="22"/>
              </w:rPr>
              <w:t>A d</w:t>
            </w:r>
            <w:r w:rsidR="00AD7AF7">
              <w:rPr>
                <w:color w:val="auto"/>
                <w:sz w:val="22"/>
                <w:szCs w:val="22"/>
              </w:rPr>
              <w:t xml:space="preserve">ocumented </w:t>
            </w:r>
            <w:r w:rsidR="00AD7AF7" w:rsidRPr="00AD7AF7">
              <w:rPr>
                <w:color w:val="auto"/>
                <w:sz w:val="22"/>
                <w:szCs w:val="22"/>
              </w:rPr>
              <w:t>Emergency Response Plan</w:t>
            </w:r>
            <w:r w:rsidR="0075253A">
              <w:rPr>
                <w:color w:val="auto"/>
                <w:sz w:val="22"/>
                <w:szCs w:val="22"/>
              </w:rPr>
              <w:t>.</w:t>
            </w:r>
          </w:p>
        </w:tc>
      </w:tr>
      <w:tr w:rsidR="00185102" w:rsidRPr="00A81435" w14:paraId="5C89321D" w14:textId="77777777" w:rsidTr="00185102">
        <w:tc>
          <w:tcPr>
            <w:tcW w:w="1153" w:type="dxa"/>
          </w:tcPr>
          <w:p w14:paraId="5F1CA8B8" w14:textId="6315E200" w:rsidR="00185102" w:rsidRDefault="00185102" w:rsidP="00185102">
            <w:pPr>
              <w:spacing w:before="60"/>
              <w:rPr>
                <w:color w:val="auto"/>
                <w:sz w:val="22"/>
                <w:szCs w:val="22"/>
              </w:rPr>
            </w:pPr>
            <w:r>
              <w:rPr>
                <w:color w:val="auto"/>
                <w:sz w:val="22"/>
                <w:szCs w:val="22"/>
              </w:rPr>
              <w:t>2</w:t>
            </w:r>
            <w:r w:rsidR="009E3521">
              <w:rPr>
                <w:color w:val="auto"/>
                <w:sz w:val="22"/>
                <w:szCs w:val="22"/>
              </w:rPr>
              <w:t>8</w:t>
            </w:r>
            <w:r>
              <w:rPr>
                <w:color w:val="auto"/>
                <w:sz w:val="22"/>
                <w:szCs w:val="22"/>
              </w:rPr>
              <w:t>.2</w:t>
            </w:r>
          </w:p>
        </w:tc>
        <w:tc>
          <w:tcPr>
            <w:tcW w:w="4568" w:type="dxa"/>
          </w:tcPr>
          <w:p w14:paraId="26CACAB9" w14:textId="22DD1737" w:rsidR="00185102" w:rsidRPr="00185102" w:rsidRDefault="00185102" w:rsidP="00185102">
            <w:pPr>
              <w:tabs>
                <w:tab w:val="left" w:pos="151"/>
              </w:tabs>
              <w:spacing w:before="60"/>
              <w:rPr>
                <w:rFonts w:cs="Arial"/>
                <w:color w:val="auto"/>
                <w:sz w:val="22"/>
                <w:szCs w:val="22"/>
              </w:rPr>
            </w:pPr>
            <w:r w:rsidRPr="00185102">
              <w:rPr>
                <w:rFonts w:cs="Arial"/>
                <w:color w:val="auto"/>
                <w:sz w:val="22"/>
                <w:szCs w:val="22"/>
              </w:rPr>
              <w:t xml:space="preserve">Ensure your </w:t>
            </w:r>
            <w:r w:rsidR="00A94308">
              <w:rPr>
                <w:rFonts w:cs="Arial"/>
                <w:color w:val="auto"/>
                <w:sz w:val="22"/>
                <w:szCs w:val="22"/>
              </w:rPr>
              <w:t xml:space="preserve">business continuity </w:t>
            </w:r>
            <w:r w:rsidRPr="00185102">
              <w:rPr>
                <w:rFonts w:cs="Arial"/>
                <w:color w:val="auto"/>
                <w:sz w:val="22"/>
                <w:szCs w:val="22"/>
              </w:rPr>
              <w:t>plan is understood and accessible by team members at any time</w:t>
            </w:r>
            <w:r>
              <w:rPr>
                <w:rFonts w:cs="Arial"/>
                <w:color w:val="auto"/>
                <w:sz w:val="22"/>
                <w:szCs w:val="22"/>
              </w:rPr>
              <w:t>.</w:t>
            </w:r>
          </w:p>
        </w:tc>
        <w:tc>
          <w:tcPr>
            <w:tcW w:w="4075" w:type="dxa"/>
          </w:tcPr>
          <w:p w14:paraId="4CCFD773" w14:textId="4F792E84" w:rsidR="00F64236" w:rsidRPr="00F532D8" w:rsidRDefault="00C87380" w:rsidP="00F532D8">
            <w:pPr>
              <w:pStyle w:val="FootnoteText"/>
              <w:spacing w:after="60"/>
              <w:rPr>
                <w:color w:val="auto"/>
                <w:sz w:val="22"/>
                <w:szCs w:val="22"/>
                <w:lang w:val="en-NZ"/>
              </w:rPr>
            </w:pPr>
            <w:r>
              <w:rPr>
                <w:color w:val="auto"/>
                <w:sz w:val="22"/>
                <w:szCs w:val="22"/>
                <w:lang w:val="en-NZ"/>
              </w:rPr>
              <w:t>The p</w:t>
            </w:r>
            <w:r w:rsidR="00F64236">
              <w:rPr>
                <w:color w:val="auto"/>
                <w:sz w:val="22"/>
                <w:szCs w:val="22"/>
                <w:lang w:val="en-NZ"/>
              </w:rPr>
              <w:t xml:space="preserve">ractice </w:t>
            </w:r>
            <w:r>
              <w:rPr>
                <w:color w:val="auto"/>
                <w:sz w:val="22"/>
                <w:szCs w:val="22"/>
                <w:lang w:val="en-NZ"/>
              </w:rPr>
              <w:t xml:space="preserve">team </w:t>
            </w:r>
            <w:r w:rsidR="00F64236">
              <w:rPr>
                <w:color w:val="auto"/>
                <w:sz w:val="22"/>
                <w:szCs w:val="22"/>
                <w:lang w:val="en-NZ"/>
              </w:rPr>
              <w:t xml:space="preserve">can access and demonstrate an understanding of the business continuity plan. </w:t>
            </w:r>
          </w:p>
        </w:tc>
      </w:tr>
    </w:tbl>
    <w:p w14:paraId="18EC2858" w14:textId="77777777" w:rsidR="00431C80" w:rsidRPr="005B2DE1" w:rsidRDefault="00431C80" w:rsidP="00431C80">
      <w:pPr>
        <w:pStyle w:val="HHLBodyText"/>
        <w:spacing w:before="240"/>
        <w:rPr>
          <w:b/>
          <w:sz w:val="22"/>
          <w:szCs w:val="22"/>
        </w:rPr>
      </w:pPr>
      <w:r w:rsidRPr="005B2DE1">
        <w:rPr>
          <w:b/>
          <w:sz w:val="22"/>
          <w:szCs w:val="22"/>
        </w:rPr>
        <w:t>Required training</w:t>
      </w:r>
    </w:p>
    <w:p w14:paraId="5D1AE19F" w14:textId="29C324F4" w:rsidR="00AF3512" w:rsidRPr="00EF0A0E" w:rsidRDefault="008D06DF" w:rsidP="00AF3512">
      <w:pPr>
        <w:pStyle w:val="HHLBodyText"/>
        <w:spacing w:before="0"/>
        <w:rPr>
          <w:sz w:val="22"/>
          <w:szCs w:val="22"/>
        </w:rPr>
      </w:pPr>
      <w:r w:rsidRPr="00EF0A0E">
        <w:rPr>
          <w:sz w:val="22"/>
          <w:szCs w:val="22"/>
        </w:rPr>
        <w:t xml:space="preserve">The practice can determine </w:t>
      </w:r>
      <w:r>
        <w:rPr>
          <w:sz w:val="22"/>
          <w:szCs w:val="22"/>
        </w:rPr>
        <w:t xml:space="preserve">the training required </w:t>
      </w:r>
      <w:r w:rsidRPr="00EF0A0E">
        <w:rPr>
          <w:sz w:val="22"/>
          <w:szCs w:val="22"/>
        </w:rPr>
        <w:t>to achiev</w:t>
      </w:r>
      <w:r>
        <w:rPr>
          <w:sz w:val="22"/>
          <w:szCs w:val="22"/>
        </w:rPr>
        <w:t>e</w:t>
      </w:r>
      <w:r w:rsidRPr="00EF0A0E">
        <w:rPr>
          <w:sz w:val="22"/>
          <w:szCs w:val="22"/>
        </w:rPr>
        <w:t xml:space="preserve"> the Indicator and </w:t>
      </w:r>
      <w:r>
        <w:rPr>
          <w:sz w:val="22"/>
          <w:szCs w:val="22"/>
        </w:rPr>
        <w:t>C</w:t>
      </w:r>
      <w:r w:rsidRPr="00EF0A0E">
        <w:rPr>
          <w:sz w:val="22"/>
          <w:szCs w:val="22"/>
        </w:rPr>
        <w:t>riteria.</w:t>
      </w:r>
    </w:p>
    <w:p w14:paraId="746E2AC3" w14:textId="2CF4C3E8" w:rsidR="00697C30" w:rsidRDefault="00697C30" w:rsidP="00697C30">
      <w:pPr>
        <w:spacing w:before="240" w:after="120"/>
        <w:rPr>
          <w:b/>
          <w:color w:val="auto"/>
          <w:sz w:val="22"/>
          <w:szCs w:val="22"/>
        </w:rPr>
      </w:pPr>
      <w:r w:rsidRPr="00A81435">
        <w:rPr>
          <w:b/>
          <w:color w:val="auto"/>
          <w:sz w:val="22"/>
          <w:szCs w:val="22"/>
        </w:rPr>
        <w:t>Guidance notes</w:t>
      </w:r>
    </w:p>
    <w:p w14:paraId="086E3185" w14:textId="2AEC048B" w:rsidR="00C111CB" w:rsidRPr="008B3D35" w:rsidRDefault="00C111CB" w:rsidP="008B3D35">
      <w:pPr>
        <w:pStyle w:val="HHLBodyText"/>
        <w:rPr>
          <w:i/>
        </w:rPr>
      </w:pPr>
      <w:r w:rsidRPr="008B3D35">
        <w:rPr>
          <w:i/>
        </w:rPr>
        <w:t>Business continuity planning</w:t>
      </w:r>
    </w:p>
    <w:p w14:paraId="066E62BC" w14:textId="6693B1C8" w:rsidR="00C111CB" w:rsidRPr="00586C44" w:rsidRDefault="00C111CB" w:rsidP="002F60FD">
      <w:pPr>
        <w:spacing w:after="120"/>
        <w:rPr>
          <w:color w:val="auto"/>
          <w:sz w:val="22"/>
          <w:szCs w:val="22"/>
        </w:rPr>
      </w:pPr>
      <w:r w:rsidRPr="00586C44">
        <w:rPr>
          <w:color w:val="auto"/>
          <w:sz w:val="22"/>
          <w:szCs w:val="22"/>
        </w:rPr>
        <w:t xml:space="preserve">Risk analysis and contingency planning help maximise patient safety and </w:t>
      </w:r>
      <w:r w:rsidR="0067228C" w:rsidRPr="00586C44">
        <w:rPr>
          <w:color w:val="auto"/>
          <w:sz w:val="22"/>
          <w:szCs w:val="22"/>
        </w:rPr>
        <w:t xml:space="preserve">ensure </w:t>
      </w:r>
      <w:r w:rsidRPr="00586C44">
        <w:rPr>
          <w:color w:val="auto"/>
          <w:sz w:val="22"/>
          <w:szCs w:val="22"/>
        </w:rPr>
        <w:t xml:space="preserve">access to ongoing </w:t>
      </w:r>
      <w:r w:rsidR="0067228C" w:rsidRPr="00586C44">
        <w:rPr>
          <w:color w:val="auto"/>
          <w:sz w:val="22"/>
          <w:szCs w:val="22"/>
        </w:rPr>
        <w:t xml:space="preserve">health </w:t>
      </w:r>
      <w:r w:rsidRPr="00586C44">
        <w:rPr>
          <w:color w:val="auto"/>
          <w:sz w:val="22"/>
          <w:szCs w:val="22"/>
        </w:rPr>
        <w:t>care through coordinated and continued delivery of general practice services in the event of a disaster or major incident.</w:t>
      </w:r>
    </w:p>
    <w:p w14:paraId="53CE683D" w14:textId="51FDAA6E" w:rsidR="00C111CB" w:rsidRPr="002F60FD" w:rsidRDefault="00C111CB" w:rsidP="00D8772C">
      <w:pPr>
        <w:spacing w:after="0"/>
        <w:rPr>
          <w:color w:val="auto"/>
          <w:sz w:val="22"/>
          <w:szCs w:val="22"/>
        </w:rPr>
      </w:pPr>
      <w:r w:rsidRPr="00546810">
        <w:rPr>
          <w:color w:val="auto"/>
          <w:sz w:val="22"/>
          <w:szCs w:val="22"/>
        </w:rPr>
        <w:t xml:space="preserve">Business continuity planning is not just about how the practice will operate </w:t>
      </w:r>
      <w:r w:rsidRPr="002F60FD">
        <w:rPr>
          <w:color w:val="auto"/>
          <w:sz w:val="22"/>
          <w:szCs w:val="22"/>
        </w:rPr>
        <w:t>during</w:t>
      </w:r>
      <w:r w:rsidRPr="00546810">
        <w:rPr>
          <w:color w:val="auto"/>
          <w:sz w:val="22"/>
          <w:szCs w:val="22"/>
        </w:rPr>
        <w:t xml:space="preserve"> the disaster or significant </w:t>
      </w:r>
      <w:r w:rsidR="004F3679" w:rsidRPr="00546810">
        <w:rPr>
          <w:color w:val="auto"/>
          <w:sz w:val="22"/>
          <w:szCs w:val="22"/>
        </w:rPr>
        <w:t>event but</w:t>
      </w:r>
      <w:r w:rsidRPr="00546810">
        <w:rPr>
          <w:color w:val="auto"/>
          <w:sz w:val="22"/>
          <w:szCs w:val="22"/>
        </w:rPr>
        <w:t xml:space="preserve"> should also </w:t>
      </w:r>
      <w:r w:rsidR="004F3679" w:rsidRPr="00546810">
        <w:rPr>
          <w:color w:val="auto"/>
          <w:sz w:val="22"/>
          <w:szCs w:val="22"/>
        </w:rPr>
        <w:t>consider</w:t>
      </w:r>
      <w:r w:rsidRPr="00546810">
        <w:rPr>
          <w:color w:val="auto"/>
          <w:sz w:val="22"/>
          <w:szCs w:val="22"/>
        </w:rPr>
        <w:t xml:space="preserve"> </w:t>
      </w:r>
      <w:r w:rsidR="0067228C" w:rsidRPr="00546810">
        <w:rPr>
          <w:color w:val="auto"/>
          <w:sz w:val="22"/>
          <w:szCs w:val="22"/>
        </w:rPr>
        <w:t xml:space="preserve">requirements (including </w:t>
      </w:r>
      <w:r w:rsidRPr="00546810">
        <w:rPr>
          <w:color w:val="auto"/>
          <w:sz w:val="22"/>
          <w:szCs w:val="22"/>
        </w:rPr>
        <w:t>viable alternatives</w:t>
      </w:r>
      <w:r w:rsidR="0067228C" w:rsidRPr="00546810">
        <w:rPr>
          <w:color w:val="auto"/>
          <w:sz w:val="22"/>
          <w:szCs w:val="22"/>
        </w:rPr>
        <w:t>)</w:t>
      </w:r>
      <w:r w:rsidRPr="00546810">
        <w:rPr>
          <w:color w:val="auto"/>
          <w:sz w:val="22"/>
          <w:szCs w:val="22"/>
        </w:rPr>
        <w:t xml:space="preserve"> to enable the practice to </w:t>
      </w:r>
      <w:r w:rsidRPr="002F60FD">
        <w:rPr>
          <w:color w:val="auto"/>
          <w:sz w:val="22"/>
          <w:szCs w:val="22"/>
        </w:rPr>
        <w:t>continue</w:t>
      </w:r>
      <w:r w:rsidRPr="00546810">
        <w:rPr>
          <w:color w:val="auto"/>
          <w:sz w:val="22"/>
          <w:szCs w:val="22"/>
        </w:rPr>
        <w:t xml:space="preserve"> operating in the short to medium term after the significant event</w:t>
      </w:r>
      <w:r w:rsidRPr="002F60FD">
        <w:rPr>
          <w:color w:val="auto"/>
          <w:sz w:val="22"/>
          <w:szCs w:val="22"/>
        </w:rPr>
        <w:t>.</w:t>
      </w:r>
    </w:p>
    <w:p w14:paraId="3081D0DD" w14:textId="77777777" w:rsidR="00C111CB" w:rsidRPr="0067228C" w:rsidRDefault="00C111CB" w:rsidP="00D8772C">
      <w:pPr>
        <w:spacing w:before="240" w:after="120"/>
        <w:rPr>
          <w:i/>
          <w:color w:val="auto"/>
          <w:sz w:val="24"/>
        </w:rPr>
      </w:pPr>
      <w:r w:rsidRPr="0067228C">
        <w:rPr>
          <w:i/>
          <w:color w:val="auto"/>
          <w:sz w:val="24"/>
        </w:rPr>
        <w:t>A business continuity plan should address or include the following key elements:</w:t>
      </w:r>
    </w:p>
    <w:p w14:paraId="7F368CEB" w14:textId="77777777" w:rsidR="00C111CB" w:rsidRPr="00CC51AB" w:rsidRDefault="00C111CB" w:rsidP="00F2122C">
      <w:pPr>
        <w:pStyle w:val="Bullets"/>
        <w:spacing w:after="60"/>
        <w:ind w:left="567" w:hanging="567"/>
        <w:rPr>
          <w:rFonts w:ascii="Arial" w:hAnsi="Arial" w:cs="Arial"/>
          <w:color w:val="auto"/>
        </w:rPr>
      </w:pPr>
      <w:r w:rsidRPr="00CC51AB">
        <w:rPr>
          <w:rFonts w:ascii="Arial" w:hAnsi="Arial" w:cs="Arial"/>
          <w:color w:val="auto"/>
        </w:rPr>
        <w:t>Options for alternative premises should the emergency/significant incident mean the usual general practice premises are no longer usable (even in the short term).</w:t>
      </w:r>
    </w:p>
    <w:p w14:paraId="6AC8FD05" w14:textId="2E66ECEA" w:rsidR="00C111CB" w:rsidRPr="00CC51AB" w:rsidRDefault="00C111CB" w:rsidP="00F2122C">
      <w:pPr>
        <w:pStyle w:val="Bullets"/>
        <w:spacing w:after="60"/>
        <w:ind w:left="567" w:hanging="567"/>
        <w:rPr>
          <w:rFonts w:ascii="Arial" w:hAnsi="Arial" w:cs="Arial"/>
          <w:color w:val="auto"/>
        </w:rPr>
      </w:pPr>
      <w:r w:rsidRPr="00CC51AB">
        <w:rPr>
          <w:rFonts w:ascii="Arial" w:hAnsi="Arial" w:cs="Arial"/>
          <w:color w:val="auto"/>
        </w:rPr>
        <w:t>A list (including contact details</w:t>
      </w:r>
      <w:r w:rsidR="00983C25" w:rsidRPr="00CC51AB">
        <w:rPr>
          <w:rFonts w:ascii="Arial" w:hAnsi="Arial" w:cs="Arial"/>
          <w:color w:val="auto"/>
        </w:rPr>
        <w:t xml:space="preserve"> and key account reference </w:t>
      </w:r>
      <w:r w:rsidR="00856407" w:rsidRPr="00CC51AB">
        <w:rPr>
          <w:rFonts w:ascii="Arial" w:hAnsi="Arial" w:cs="Arial"/>
          <w:color w:val="auto"/>
        </w:rPr>
        <w:t>details</w:t>
      </w:r>
      <w:r w:rsidRPr="00CC51AB">
        <w:rPr>
          <w:rFonts w:ascii="Arial" w:hAnsi="Arial" w:cs="Arial"/>
          <w:color w:val="auto"/>
        </w:rPr>
        <w:t>) of all major utility providers used by the practice.</w:t>
      </w:r>
    </w:p>
    <w:p w14:paraId="3B9F8727" w14:textId="08C6F67A" w:rsidR="00C111CB" w:rsidRPr="00CC51AB" w:rsidRDefault="00C111CB" w:rsidP="00F2122C">
      <w:pPr>
        <w:pStyle w:val="Bullets"/>
        <w:spacing w:after="60"/>
        <w:ind w:left="567" w:hanging="567"/>
        <w:rPr>
          <w:rFonts w:ascii="Arial" w:hAnsi="Arial" w:cs="Arial"/>
          <w:color w:val="auto"/>
        </w:rPr>
      </w:pPr>
      <w:r w:rsidRPr="00CC51AB">
        <w:rPr>
          <w:rFonts w:ascii="Arial" w:hAnsi="Arial" w:cs="Arial"/>
          <w:color w:val="auto"/>
        </w:rPr>
        <w:t>A range of options for access to alternative utility services or work around should your practice’s normal provider</w:t>
      </w:r>
      <w:r w:rsidR="00983C25" w:rsidRPr="00CC51AB">
        <w:rPr>
          <w:rFonts w:ascii="Arial" w:hAnsi="Arial" w:cs="Arial"/>
          <w:color w:val="auto"/>
        </w:rPr>
        <w:t>s</w:t>
      </w:r>
      <w:r w:rsidRPr="00CC51AB">
        <w:rPr>
          <w:rFonts w:ascii="Arial" w:hAnsi="Arial" w:cs="Arial"/>
          <w:color w:val="auto"/>
        </w:rPr>
        <w:t xml:space="preserve"> </w:t>
      </w:r>
      <w:r w:rsidR="00983C25" w:rsidRPr="00CC51AB">
        <w:rPr>
          <w:rFonts w:ascii="Arial" w:hAnsi="Arial" w:cs="Arial"/>
          <w:color w:val="auto"/>
        </w:rPr>
        <w:t xml:space="preserve">of services </w:t>
      </w:r>
      <w:r w:rsidRPr="00CC51AB">
        <w:rPr>
          <w:rFonts w:ascii="Arial" w:hAnsi="Arial" w:cs="Arial"/>
          <w:color w:val="auto"/>
        </w:rPr>
        <w:t xml:space="preserve">be unable to supply any essential services when needed. </w:t>
      </w:r>
    </w:p>
    <w:p w14:paraId="7210B104" w14:textId="77777777" w:rsidR="00C111CB" w:rsidRPr="005D7427" w:rsidRDefault="00C111CB" w:rsidP="00983C25">
      <w:pPr>
        <w:spacing w:before="120"/>
        <w:rPr>
          <w:color w:val="auto"/>
          <w:sz w:val="22"/>
          <w:szCs w:val="22"/>
        </w:rPr>
      </w:pPr>
      <w:r w:rsidRPr="005D7427">
        <w:rPr>
          <w:color w:val="auto"/>
          <w:sz w:val="22"/>
          <w:szCs w:val="22"/>
        </w:rPr>
        <w:t>Examples of essential services may include:</w:t>
      </w:r>
    </w:p>
    <w:p w14:paraId="0563DC18" w14:textId="6B4852C9" w:rsidR="00C111CB" w:rsidRPr="005D7427" w:rsidRDefault="00983C25" w:rsidP="00F2122C">
      <w:pPr>
        <w:pStyle w:val="Bullets"/>
        <w:spacing w:after="60"/>
        <w:ind w:left="567" w:hanging="567"/>
        <w:rPr>
          <w:rFonts w:ascii="Arial" w:hAnsi="Arial" w:cs="Arial"/>
          <w:color w:val="auto"/>
        </w:rPr>
      </w:pPr>
      <w:r w:rsidRPr="005D7427">
        <w:rPr>
          <w:rFonts w:ascii="Arial" w:hAnsi="Arial" w:cs="Arial"/>
          <w:color w:val="auto"/>
        </w:rPr>
        <w:t>P</w:t>
      </w:r>
      <w:r w:rsidR="00C111CB" w:rsidRPr="005D7427">
        <w:rPr>
          <w:rFonts w:ascii="Arial" w:hAnsi="Arial" w:cs="Arial"/>
          <w:color w:val="auto"/>
        </w:rPr>
        <w:t>ower (equipment, lighting, heating)</w:t>
      </w:r>
    </w:p>
    <w:p w14:paraId="62FF3F16" w14:textId="509CD298" w:rsidR="00C111CB" w:rsidRPr="005D7427" w:rsidRDefault="00983C25" w:rsidP="00F2122C">
      <w:pPr>
        <w:pStyle w:val="Bullets"/>
        <w:spacing w:after="60"/>
        <w:ind w:left="567" w:hanging="567"/>
        <w:rPr>
          <w:rFonts w:ascii="Arial" w:hAnsi="Arial" w:cs="Arial"/>
          <w:color w:val="auto"/>
        </w:rPr>
      </w:pPr>
      <w:r w:rsidRPr="005D7427">
        <w:rPr>
          <w:rFonts w:ascii="Arial" w:hAnsi="Arial" w:cs="Arial"/>
          <w:color w:val="auto"/>
        </w:rPr>
        <w:t>W</w:t>
      </w:r>
      <w:r w:rsidR="00C111CB" w:rsidRPr="005D7427">
        <w:rPr>
          <w:rFonts w:ascii="Arial" w:hAnsi="Arial" w:cs="Arial"/>
          <w:color w:val="auto"/>
        </w:rPr>
        <w:t>ater (service provision, cleaning, drinking, hygiene)</w:t>
      </w:r>
    </w:p>
    <w:p w14:paraId="4B9C00F3" w14:textId="2B47E883" w:rsidR="00CC721D" w:rsidRPr="005D7427" w:rsidRDefault="00CC721D" w:rsidP="00F2122C">
      <w:pPr>
        <w:pStyle w:val="Bullets"/>
        <w:spacing w:after="60"/>
        <w:ind w:left="567" w:hanging="567"/>
        <w:rPr>
          <w:rFonts w:ascii="Arial" w:hAnsi="Arial" w:cs="Arial"/>
          <w:color w:val="auto"/>
        </w:rPr>
      </w:pPr>
      <w:r w:rsidRPr="005D7427">
        <w:rPr>
          <w:rFonts w:ascii="Arial" w:hAnsi="Arial" w:cs="Arial"/>
          <w:color w:val="auto"/>
        </w:rPr>
        <w:t>Toilet facilities</w:t>
      </w:r>
    </w:p>
    <w:p w14:paraId="75241BEF" w14:textId="00AFB486" w:rsidR="00C111CB" w:rsidRPr="005D7427" w:rsidRDefault="00C111CB" w:rsidP="00F2122C">
      <w:pPr>
        <w:pStyle w:val="Bullets"/>
        <w:spacing w:after="60"/>
        <w:ind w:left="567" w:hanging="567"/>
        <w:rPr>
          <w:rFonts w:ascii="Arial" w:hAnsi="Arial" w:cs="Arial"/>
          <w:color w:val="auto"/>
        </w:rPr>
      </w:pPr>
      <w:r w:rsidRPr="005D7427">
        <w:rPr>
          <w:rFonts w:ascii="Arial" w:hAnsi="Arial" w:cs="Arial"/>
          <w:color w:val="auto"/>
        </w:rPr>
        <w:t>IT solutions (PMS/patient information)</w:t>
      </w:r>
    </w:p>
    <w:p w14:paraId="0550A414" w14:textId="6FAD1E5E" w:rsidR="00C111CB" w:rsidRPr="005D7427" w:rsidRDefault="00983C25" w:rsidP="00F2122C">
      <w:pPr>
        <w:pStyle w:val="Bullets"/>
        <w:spacing w:after="60"/>
        <w:ind w:left="567" w:hanging="567"/>
        <w:rPr>
          <w:rFonts w:ascii="Arial" w:hAnsi="Arial" w:cs="Arial"/>
          <w:color w:val="auto"/>
        </w:rPr>
      </w:pPr>
      <w:r w:rsidRPr="005D7427">
        <w:rPr>
          <w:rFonts w:ascii="Arial" w:hAnsi="Arial" w:cs="Arial"/>
          <w:color w:val="auto"/>
        </w:rPr>
        <w:t>P</w:t>
      </w:r>
      <w:r w:rsidR="00C111CB" w:rsidRPr="005D7427">
        <w:rPr>
          <w:rFonts w:ascii="Arial" w:hAnsi="Arial" w:cs="Arial"/>
          <w:color w:val="auto"/>
        </w:rPr>
        <w:t>hones (communications)</w:t>
      </w:r>
    </w:p>
    <w:p w14:paraId="01B3374F" w14:textId="5F72E400" w:rsidR="00C111CB" w:rsidRPr="00983C25" w:rsidRDefault="00CC721D" w:rsidP="00F2122C">
      <w:pPr>
        <w:pStyle w:val="Bullets"/>
        <w:spacing w:after="120"/>
        <w:ind w:left="567" w:hanging="567"/>
        <w:rPr>
          <w:color w:val="auto"/>
        </w:rPr>
      </w:pPr>
      <w:r w:rsidRPr="005D7427">
        <w:rPr>
          <w:rFonts w:ascii="Arial" w:hAnsi="Arial" w:cs="Arial"/>
          <w:color w:val="auto"/>
        </w:rPr>
        <w:t>M</w:t>
      </w:r>
      <w:r w:rsidR="00C111CB" w:rsidRPr="005D7427">
        <w:rPr>
          <w:rFonts w:ascii="Arial" w:hAnsi="Arial" w:cs="Arial"/>
          <w:color w:val="auto"/>
        </w:rPr>
        <w:t>edical supplies</w:t>
      </w:r>
    </w:p>
    <w:p w14:paraId="793D48CA" w14:textId="77777777" w:rsidR="00CC721D" w:rsidRPr="009900FA" w:rsidRDefault="00C111CB" w:rsidP="002F60FD">
      <w:pPr>
        <w:spacing w:after="120"/>
        <w:rPr>
          <w:bCs/>
          <w:color w:val="auto"/>
          <w:sz w:val="22"/>
          <w:szCs w:val="22"/>
        </w:rPr>
      </w:pPr>
      <w:r w:rsidRPr="009900FA">
        <w:rPr>
          <w:bCs/>
          <w:color w:val="auto"/>
          <w:sz w:val="22"/>
          <w:szCs w:val="22"/>
        </w:rPr>
        <w:t xml:space="preserve">A copy of the practice’s business continuity plan should be maintained off-site in either an electronic or hard copy format that can be readily accessed and used when required. </w:t>
      </w:r>
      <w:r w:rsidR="00CC721D" w:rsidRPr="009900FA">
        <w:rPr>
          <w:bCs/>
          <w:color w:val="auto"/>
          <w:sz w:val="22"/>
          <w:szCs w:val="22"/>
        </w:rPr>
        <w:t>Key staff members must be familiar with how to access the plan at the time.</w:t>
      </w:r>
    </w:p>
    <w:p w14:paraId="47EA2894" w14:textId="0624996B" w:rsidR="00C111CB" w:rsidRPr="002F60FD" w:rsidRDefault="00C111CB" w:rsidP="002F60FD">
      <w:pPr>
        <w:spacing w:after="120"/>
        <w:rPr>
          <w:color w:val="auto"/>
          <w:sz w:val="22"/>
          <w:szCs w:val="22"/>
        </w:rPr>
      </w:pPr>
      <w:r w:rsidRPr="002F60FD">
        <w:rPr>
          <w:color w:val="auto"/>
          <w:sz w:val="22"/>
          <w:szCs w:val="22"/>
        </w:rPr>
        <w:t>It is also important as part of any business continuity planning that alternative resource options are checked out for reliability should they be needed. For example, an alternative to mains electricity may include the utilisation of a generator, so it will be important to hold discussions with an electrician to ensure that essential medical or other equipment requiring a power source can still be operated safely and effectively using the alternative power source.</w:t>
      </w:r>
    </w:p>
    <w:p w14:paraId="6C21CEEF" w14:textId="77777777" w:rsidR="00BD7399" w:rsidRPr="002F60FD" w:rsidRDefault="00BD7399" w:rsidP="002F60FD">
      <w:pPr>
        <w:spacing w:after="120"/>
        <w:rPr>
          <w:color w:val="auto"/>
          <w:sz w:val="22"/>
          <w:szCs w:val="22"/>
        </w:rPr>
      </w:pPr>
      <w:r w:rsidRPr="002F60FD">
        <w:rPr>
          <w:color w:val="auto"/>
          <w:sz w:val="22"/>
          <w:szCs w:val="22"/>
        </w:rPr>
        <w:lastRenderedPageBreak/>
        <w:t>Ongoing access to fuel may be required if the practice has access to a generator.</w:t>
      </w:r>
    </w:p>
    <w:p w14:paraId="680C8F33" w14:textId="77777777" w:rsidR="00BD7399" w:rsidRPr="002F60FD" w:rsidRDefault="00BD7399" w:rsidP="002F60FD">
      <w:pPr>
        <w:spacing w:after="120"/>
        <w:rPr>
          <w:color w:val="auto"/>
          <w:sz w:val="22"/>
          <w:szCs w:val="22"/>
        </w:rPr>
      </w:pPr>
      <w:r w:rsidRPr="002F60FD">
        <w:rPr>
          <w:color w:val="auto"/>
          <w:sz w:val="22"/>
          <w:szCs w:val="22"/>
        </w:rPr>
        <w:t>The practice should maintain a ‘power down’ kit containing paper forms, prescription pads, pens, marker pens and other resources to support the manual processing of patients should the practice experience a prolonged power outage (power down) situation.</w:t>
      </w:r>
    </w:p>
    <w:p w14:paraId="7D239A8A" w14:textId="77777777" w:rsidR="00C111CB" w:rsidRPr="002F60FD" w:rsidRDefault="00C111CB" w:rsidP="002F60FD">
      <w:pPr>
        <w:spacing w:after="120"/>
        <w:rPr>
          <w:color w:val="auto"/>
          <w:sz w:val="22"/>
          <w:szCs w:val="22"/>
        </w:rPr>
      </w:pPr>
      <w:r w:rsidRPr="002F60FD">
        <w:rPr>
          <w:color w:val="auto"/>
          <w:sz w:val="22"/>
          <w:szCs w:val="22"/>
        </w:rPr>
        <w:t>The ability to access and maintain patient information may be important especially when moving into a re-establishment phase after a major event. The practice should have access to a valid and recent back-up of essential patient health information knowing that it is capable of being restored and used – see also Indicator 12.</w:t>
      </w:r>
    </w:p>
    <w:p w14:paraId="59ECAC19" w14:textId="77777777" w:rsidR="00C111CB" w:rsidRPr="002F60FD" w:rsidRDefault="00C111CB" w:rsidP="002F60FD">
      <w:pPr>
        <w:spacing w:after="120"/>
        <w:rPr>
          <w:color w:val="auto"/>
          <w:sz w:val="22"/>
          <w:szCs w:val="22"/>
        </w:rPr>
      </w:pPr>
      <w:r w:rsidRPr="002F60FD">
        <w:rPr>
          <w:color w:val="auto"/>
          <w:sz w:val="22"/>
          <w:szCs w:val="22"/>
        </w:rPr>
        <w:t xml:space="preserve">It is recommended that you have a detailed list of practice assets that can be referred to should you need to re-establish any aspect of your practice resources after a significant event.   </w:t>
      </w:r>
    </w:p>
    <w:p w14:paraId="6793209C" w14:textId="77777777" w:rsidR="00C111CB" w:rsidRPr="008B3D35" w:rsidRDefault="00C111CB" w:rsidP="009900FA">
      <w:pPr>
        <w:pStyle w:val="HHLBodyText"/>
        <w:spacing w:before="240"/>
        <w:rPr>
          <w:i/>
        </w:rPr>
      </w:pPr>
      <w:r w:rsidRPr="008B3D35">
        <w:rPr>
          <w:i/>
        </w:rPr>
        <w:t>Emergency assistance</w:t>
      </w:r>
    </w:p>
    <w:p w14:paraId="1256DF3C" w14:textId="77777777" w:rsidR="00C111CB" w:rsidRPr="002F60FD" w:rsidRDefault="00C111CB" w:rsidP="002F60FD">
      <w:pPr>
        <w:spacing w:after="120"/>
        <w:rPr>
          <w:color w:val="auto"/>
          <w:sz w:val="22"/>
          <w:szCs w:val="22"/>
        </w:rPr>
      </w:pPr>
      <w:r w:rsidRPr="002F60FD">
        <w:rPr>
          <w:color w:val="auto"/>
          <w:sz w:val="22"/>
          <w:szCs w:val="22"/>
        </w:rPr>
        <w:t>In situations when an emergency event such as a fire, flood, earthquake or prolonged power cut requires extraordinary actions, there should be a planned set of responses that all practice staff understand.</w:t>
      </w:r>
    </w:p>
    <w:p w14:paraId="29BEBD1E" w14:textId="77777777" w:rsidR="00C111CB" w:rsidRPr="002F60FD" w:rsidRDefault="00C111CB" w:rsidP="002F60FD">
      <w:pPr>
        <w:spacing w:after="120"/>
        <w:rPr>
          <w:color w:val="auto"/>
          <w:sz w:val="22"/>
          <w:szCs w:val="22"/>
        </w:rPr>
      </w:pPr>
      <w:r w:rsidRPr="002F60FD">
        <w:rPr>
          <w:color w:val="auto"/>
          <w:sz w:val="22"/>
          <w:szCs w:val="22"/>
        </w:rPr>
        <w:t xml:space="preserve">The plan should cover expectations of immediate responses covering staff roles and responsibilities, provision of services and allocation of resources for each type of emergency occasion or situation.  </w:t>
      </w:r>
    </w:p>
    <w:p w14:paraId="1569E3D8" w14:textId="4170EC74" w:rsidR="00C111CB" w:rsidRPr="002F60FD" w:rsidRDefault="00C111CB" w:rsidP="002F60FD">
      <w:pPr>
        <w:spacing w:after="120"/>
        <w:rPr>
          <w:color w:val="auto"/>
          <w:sz w:val="22"/>
          <w:szCs w:val="22"/>
        </w:rPr>
      </w:pPr>
      <w:r w:rsidRPr="002F60FD">
        <w:rPr>
          <w:color w:val="auto"/>
          <w:sz w:val="22"/>
          <w:szCs w:val="22"/>
        </w:rPr>
        <w:t>Other forms of emergency situations that should be covered may include bomb threats, hold-ups, prolonged computer outages, aggressive patients and significant incapacity of a staff member (</w:t>
      </w:r>
      <w:r w:rsidR="002D3694" w:rsidRPr="002F60FD">
        <w:rPr>
          <w:color w:val="auto"/>
          <w:sz w:val="22"/>
          <w:szCs w:val="22"/>
        </w:rPr>
        <w:t>e.g.</w:t>
      </w:r>
      <w:r w:rsidRPr="002F60FD">
        <w:rPr>
          <w:color w:val="auto"/>
          <w:sz w:val="22"/>
          <w:szCs w:val="22"/>
        </w:rPr>
        <w:t xml:space="preserve"> through sudden illness or death).</w:t>
      </w:r>
    </w:p>
    <w:p w14:paraId="1A5694F0" w14:textId="77777777" w:rsidR="00C111CB" w:rsidRPr="002F60FD" w:rsidRDefault="00C111CB" w:rsidP="002F60FD">
      <w:pPr>
        <w:spacing w:after="120"/>
        <w:rPr>
          <w:color w:val="auto"/>
          <w:sz w:val="22"/>
          <w:szCs w:val="22"/>
        </w:rPr>
      </w:pPr>
      <w:r w:rsidRPr="002F60FD">
        <w:rPr>
          <w:color w:val="auto"/>
          <w:sz w:val="22"/>
          <w:szCs w:val="22"/>
        </w:rPr>
        <w:t>The plan should cover responses to emergencies that may be confined to the immediate practice facilities as well as any responses that may be made externally to the local community when the emergency situation is of a greater scale.</w:t>
      </w:r>
    </w:p>
    <w:p w14:paraId="517243F9" w14:textId="77777777" w:rsidR="00AB4E47" w:rsidRPr="009900FA" w:rsidRDefault="00AB4E47" w:rsidP="002F60FD">
      <w:pPr>
        <w:spacing w:after="120"/>
        <w:rPr>
          <w:bCs/>
          <w:color w:val="auto"/>
          <w:sz w:val="22"/>
          <w:szCs w:val="22"/>
        </w:rPr>
      </w:pPr>
      <w:r w:rsidRPr="009900FA">
        <w:rPr>
          <w:bCs/>
          <w:color w:val="auto"/>
          <w:sz w:val="22"/>
          <w:szCs w:val="22"/>
        </w:rPr>
        <w:t>Business continuity plans and emergency response documentation should be reviewed and updated annually. Plans should be dated and include a next review date.</w:t>
      </w:r>
    </w:p>
    <w:p w14:paraId="79049BEF" w14:textId="4DCF5009" w:rsidR="00697C30" w:rsidRDefault="00697C30" w:rsidP="00C111CB">
      <w:pPr>
        <w:rPr>
          <w:b/>
          <w:color w:val="auto"/>
          <w:sz w:val="22"/>
          <w:szCs w:val="22"/>
        </w:rPr>
      </w:pPr>
      <w:r w:rsidRPr="00A81435">
        <w:rPr>
          <w:b/>
          <w:color w:val="auto"/>
          <w:sz w:val="22"/>
          <w:szCs w:val="22"/>
        </w:rPr>
        <w:t>Resources</w:t>
      </w:r>
    </w:p>
    <w:p w14:paraId="4D5C3C08" w14:textId="77777777" w:rsidR="00C111CB" w:rsidRPr="00E214B6" w:rsidRDefault="00C111CB" w:rsidP="00F2122C">
      <w:pPr>
        <w:pStyle w:val="Resourcelist"/>
        <w:numPr>
          <w:ilvl w:val="0"/>
          <w:numId w:val="40"/>
        </w:numPr>
        <w:ind w:left="567" w:hanging="567"/>
        <w:rPr>
          <w:rFonts w:ascii="Arial" w:hAnsi="Arial" w:cs="Arial"/>
          <w:color w:val="0000FF"/>
        </w:rPr>
      </w:pPr>
      <w:r w:rsidRPr="00E214B6">
        <w:rPr>
          <w:rStyle w:val="Hyperlink"/>
          <w:rFonts w:ascii="Arial" w:hAnsi="Arial" w:cs="Arial"/>
          <w:color w:val="0000FF"/>
        </w:rPr>
        <w:t>Ministry of Health</w:t>
      </w:r>
      <w:r w:rsidRPr="00E214B6">
        <w:rPr>
          <w:rFonts w:ascii="Arial" w:hAnsi="Arial" w:cs="Arial"/>
          <w:color w:val="0000FF"/>
        </w:rPr>
        <w:t>:</w:t>
      </w:r>
    </w:p>
    <w:p w14:paraId="6677D79F" w14:textId="0C6BBFE9" w:rsidR="00C111CB" w:rsidRPr="00E214B6" w:rsidRDefault="00CF1416" w:rsidP="00DE0966">
      <w:pPr>
        <w:pStyle w:val="Resourcelist-L2"/>
        <w:numPr>
          <w:ilvl w:val="0"/>
          <w:numId w:val="41"/>
        </w:numPr>
        <w:rPr>
          <w:rFonts w:ascii="Arial" w:hAnsi="Arial" w:cs="Arial"/>
          <w:color w:val="0000FF"/>
        </w:rPr>
      </w:pPr>
      <w:hyperlink r:id="rId210" w:history="1">
        <w:r w:rsidR="00C111CB" w:rsidRPr="00E214B6">
          <w:rPr>
            <w:rStyle w:val="Hyperlink"/>
            <w:rFonts w:ascii="Arial" w:hAnsi="Arial" w:cs="Arial"/>
          </w:rPr>
          <w:t>Emergency management, disaster planning and business continuity in primary care</w:t>
        </w:r>
      </w:hyperlink>
    </w:p>
    <w:p w14:paraId="1E97CB00" w14:textId="77777777" w:rsidR="00C111CB" w:rsidRPr="00E214B6" w:rsidRDefault="00CF1416" w:rsidP="00DE0966">
      <w:pPr>
        <w:pStyle w:val="Resourcelist-L2"/>
        <w:numPr>
          <w:ilvl w:val="0"/>
          <w:numId w:val="41"/>
        </w:numPr>
        <w:rPr>
          <w:rFonts w:ascii="Arial" w:hAnsi="Arial" w:cs="Arial"/>
          <w:color w:val="0000FF"/>
        </w:rPr>
      </w:pPr>
      <w:hyperlink r:id="rId211" w:history="1">
        <w:r w:rsidR="00C111CB" w:rsidRPr="00E214B6">
          <w:rPr>
            <w:rFonts w:ascii="Arial" w:hAnsi="Arial" w:cs="Arial"/>
            <w:color w:val="0000FF"/>
          </w:rPr>
          <w:t>Emergency management</w:t>
        </w:r>
      </w:hyperlink>
    </w:p>
    <w:p w14:paraId="4053897B" w14:textId="77777777" w:rsidR="00C111CB" w:rsidRPr="00E214B6" w:rsidRDefault="00CF1416" w:rsidP="00DE0966">
      <w:pPr>
        <w:pStyle w:val="Resourcelist-L2"/>
        <w:numPr>
          <w:ilvl w:val="0"/>
          <w:numId w:val="41"/>
        </w:numPr>
        <w:rPr>
          <w:rFonts w:ascii="Arial" w:hAnsi="Arial" w:cs="Arial"/>
          <w:color w:val="0000FF"/>
        </w:rPr>
      </w:pPr>
      <w:hyperlink r:id="rId212" w:history="1">
        <w:r w:rsidR="00C111CB" w:rsidRPr="00E214B6">
          <w:rPr>
            <w:rFonts w:ascii="Arial" w:hAnsi="Arial" w:cs="Arial"/>
            <w:color w:val="0000FF"/>
          </w:rPr>
          <w:t>National Health Emergency Plan</w:t>
        </w:r>
      </w:hyperlink>
    </w:p>
    <w:p w14:paraId="7C547D18" w14:textId="3F72FD39" w:rsidR="00C111CB" w:rsidRPr="00E214B6" w:rsidRDefault="00CF1416" w:rsidP="00DE0966">
      <w:pPr>
        <w:pStyle w:val="Resourcelist-L2"/>
        <w:numPr>
          <w:ilvl w:val="0"/>
          <w:numId w:val="41"/>
        </w:numPr>
        <w:rPr>
          <w:rFonts w:ascii="Arial" w:hAnsi="Arial" w:cs="Arial"/>
          <w:color w:val="0000FF"/>
        </w:rPr>
      </w:pPr>
      <w:hyperlink r:id="rId213" w:history="1">
        <w:r w:rsidR="002D05F9" w:rsidRPr="00E214B6">
          <w:rPr>
            <w:rStyle w:val="Hyperlink"/>
            <w:rFonts w:ascii="Arial" w:hAnsi="Arial" w:cs="Arial"/>
          </w:rPr>
          <w:t>Health sector p</w:t>
        </w:r>
        <w:r w:rsidR="00C111CB" w:rsidRPr="00E214B6">
          <w:rPr>
            <w:rStyle w:val="Hyperlink"/>
            <w:rFonts w:ascii="Arial" w:hAnsi="Arial" w:cs="Arial"/>
          </w:rPr>
          <w:t>andemic influenza guidance</w:t>
        </w:r>
      </w:hyperlink>
      <w:r w:rsidR="00C111CB" w:rsidRPr="00E214B6">
        <w:rPr>
          <w:rFonts w:ascii="Arial" w:hAnsi="Arial" w:cs="Arial"/>
          <w:color w:val="0000FF"/>
        </w:rPr>
        <w:t xml:space="preserve"> </w:t>
      </w:r>
    </w:p>
    <w:p w14:paraId="56B3426D" w14:textId="035ADDCE" w:rsidR="007332EF" w:rsidRPr="0024030C" w:rsidRDefault="00CF1416" w:rsidP="00CA1489">
      <w:pPr>
        <w:pStyle w:val="Resourcelist"/>
        <w:numPr>
          <w:ilvl w:val="0"/>
          <w:numId w:val="39"/>
        </w:numPr>
        <w:spacing w:after="120"/>
        <w:ind w:left="567" w:hanging="567"/>
        <w:rPr>
          <w:rStyle w:val="Hyperlink"/>
          <w:color w:val="0000FF"/>
        </w:rPr>
      </w:pPr>
      <w:hyperlink r:id="rId214" w:history="1">
        <w:r w:rsidR="007332EF" w:rsidRPr="00E214B6">
          <w:rPr>
            <w:rStyle w:val="Hyperlink"/>
            <w:rFonts w:ascii="Arial" w:hAnsi="Arial" w:cs="Arial"/>
            <w:color w:val="0000FF"/>
          </w:rPr>
          <w:t xml:space="preserve">Ministry of Civil </w:t>
        </w:r>
        <w:r w:rsidR="00976F78" w:rsidRPr="00E214B6">
          <w:rPr>
            <w:rStyle w:val="Hyperlink"/>
            <w:rFonts w:ascii="Arial" w:hAnsi="Arial" w:cs="Arial"/>
            <w:color w:val="0000FF"/>
          </w:rPr>
          <w:t>D</w:t>
        </w:r>
        <w:r w:rsidR="007332EF" w:rsidRPr="00E214B6">
          <w:rPr>
            <w:rStyle w:val="Hyperlink"/>
            <w:rFonts w:ascii="Arial" w:hAnsi="Arial" w:cs="Arial"/>
            <w:color w:val="0000FF"/>
          </w:rPr>
          <w:t xml:space="preserve">efence and Emergency </w:t>
        </w:r>
        <w:r w:rsidR="00976F78" w:rsidRPr="00E214B6">
          <w:rPr>
            <w:rStyle w:val="Hyperlink"/>
            <w:rFonts w:ascii="Arial" w:hAnsi="Arial" w:cs="Arial"/>
            <w:color w:val="0000FF"/>
          </w:rPr>
          <w:t>M</w:t>
        </w:r>
        <w:r w:rsidR="007332EF" w:rsidRPr="00E214B6">
          <w:rPr>
            <w:rStyle w:val="Hyperlink"/>
            <w:rFonts w:ascii="Arial" w:hAnsi="Arial" w:cs="Arial"/>
            <w:color w:val="0000FF"/>
          </w:rPr>
          <w:t>anag</w:t>
        </w:r>
        <w:r w:rsidR="00976F78" w:rsidRPr="00E214B6">
          <w:rPr>
            <w:rStyle w:val="Hyperlink"/>
            <w:rFonts w:ascii="Arial" w:hAnsi="Arial" w:cs="Arial"/>
            <w:color w:val="0000FF"/>
          </w:rPr>
          <w:t>em</w:t>
        </w:r>
        <w:r w:rsidR="007332EF" w:rsidRPr="00E214B6">
          <w:rPr>
            <w:rStyle w:val="Hyperlink"/>
            <w:rFonts w:ascii="Arial" w:hAnsi="Arial" w:cs="Arial"/>
            <w:color w:val="0000FF"/>
          </w:rPr>
          <w:t>ent</w:t>
        </w:r>
      </w:hyperlink>
    </w:p>
    <w:p w14:paraId="208D939E" w14:textId="74C8CED2" w:rsidR="004C60BD" w:rsidRPr="0007044A" w:rsidRDefault="00CF1416" w:rsidP="007332EF">
      <w:pPr>
        <w:rPr>
          <w:color w:val="EE7624"/>
          <w:sz w:val="56"/>
          <w:szCs w:val="56"/>
        </w:rPr>
      </w:pPr>
      <w:hyperlink r:id="rId215" w:history="1"/>
      <w:r w:rsidR="004C60BD" w:rsidRPr="0007044A">
        <w:rPr>
          <w:b/>
          <w:color w:val="EE7624"/>
          <w:sz w:val="28"/>
        </w:rPr>
        <w:br w:type="page"/>
      </w:r>
    </w:p>
    <w:p w14:paraId="5BE47E03" w14:textId="6BB32639" w:rsidR="00F628F5" w:rsidRDefault="00CF1B0A" w:rsidP="00F2122C">
      <w:pPr>
        <w:pStyle w:val="HHLMainHeading"/>
        <w:tabs>
          <w:tab w:val="left" w:pos="567"/>
        </w:tabs>
        <w:ind w:left="567" w:hanging="567"/>
      </w:pPr>
      <w:bookmarkStart w:id="76" w:name="_Toc6998693"/>
      <w:r>
        <w:lastRenderedPageBreak/>
        <w:t>Glossary</w:t>
      </w:r>
      <w:bookmarkEnd w:id="76"/>
    </w:p>
    <w:p w14:paraId="52CE5C5B" w14:textId="77777777" w:rsidR="00FF127F" w:rsidRPr="00FF127F" w:rsidRDefault="00FF127F" w:rsidP="00FF127F">
      <w:pPr>
        <w:pStyle w:val="HHLBodyText"/>
      </w:pPr>
    </w:p>
    <w:tbl>
      <w:tblPr>
        <w:tblW w:w="0" w:type="auto"/>
        <w:tblInd w:w="-8" w:type="dxa"/>
        <w:tblLayout w:type="fixed"/>
        <w:tblCellMar>
          <w:left w:w="0" w:type="dxa"/>
          <w:right w:w="0" w:type="dxa"/>
        </w:tblCellMar>
        <w:tblLook w:val="0000" w:firstRow="0" w:lastRow="0" w:firstColumn="0" w:lastColumn="0" w:noHBand="0" w:noVBand="0"/>
      </w:tblPr>
      <w:tblGrid>
        <w:gridCol w:w="3288"/>
        <w:gridCol w:w="6340"/>
      </w:tblGrid>
      <w:tr w:rsidR="001F5413" w:rsidRPr="007C63B9" w14:paraId="3A771AA0" w14:textId="77777777" w:rsidTr="00976F78">
        <w:trPr>
          <w:trHeight w:val="60"/>
          <w:tblHeader/>
        </w:trPr>
        <w:tc>
          <w:tcPr>
            <w:tcW w:w="3288" w:type="dxa"/>
            <w:tcBorders>
              <w:top w:val="single" w:sz="4" w:space="0" w:color="000000"/>
              <w:left w:val="single" w:sz="6" w:space="0" w:color="000000"/>
              <w:bottom w:val="single" w:sz="4" w:space="0" w:color="000000"/>
              <w:right w:val="single" w:sz="6" w:space="0" w:color="000000"/>
            </w:tcBorders>
            <w:shd w:val="clear" w:color="auto" w:fill="FBD4B4" w:themeFill="accent6" w:themeFillTint="66"/>
            <w:tcMar>
              <w:top w:w="142" w:type="dxa"/>
              <w:left w:w="142" w:type="dxa"/>
              <w:bottom w:w="142" w:type="dxa"/>
              <w:right w:w="142" w:type="dxa"/>
            </w:tcMar>
            <w:vAlign w:val="center"/>
          </w:tcPr>
          <w:p w14:paraId="7BF3C895" w14:textId="2DACAAC3" w:rsidR="001F5413" w:rsidRPr="00976F78" w:rsidRDefault="001F5413" w:rsidP="00A52B74">
            <w:pPr>
              <w:pStyle w:val="TableHeaderTables"/>
              <w:rPr>
                <w:rFonts w:ascii="Arial" w:hAnsi="Arial" w:cs="Arial"/>
                <w:color w:val="auto"/>
                <w:sz w:val="24"/>
                <w:szCs w:val="24"/>
              </w:rPr>
            </w:pPr>
            <w:r w:rsidRPr="00976F78">
              <w:rPr>
                <w:rFonts w:ascii="Arial" w:hAnsi="Arial" w:cs="Arial"/>
                <w:color w:val="auto"/>
                <w:sz w:val="24"/>
                <w:szCs w:val="24"/>
              </w:rPr>
              <w:t>Term</w:t>
            </w:r>
          </w:p>
        </w:tc>
        <w:tc>
          <w:tcPr>
            <w:tcW w:w="6340" w:type="dxa"/>
            <w:tcBorders>
              <w:top w:val="single" w:sz="4" w:space="0" w:color="000000"/>
              <w:left w:val="single" w:sz="6" w:space="0" w:color="000000"/>
              <w:bottom w:val="single" w:sz="4" w:space="0" w:color="000000"/>
              <w:right w:val="single" w:sz="6" w:space="0" w:color="000000"/>
            </w:tcBorders>
            <w:shd w:val="clear" w:color="auto" w:fill="FBD4B4" w:themeFill="accent6" w:themeFillTint="66"/>
            <w:tcMar>
              <w:top w:w="142" w:type="dxa"/>
              <w:left w:w="142" w:type="dxa"/>
              <w:bottom w:w="142" w:type="dxa"/>
              <w:right w:w="142" w:type="dxa"/>
            </w:tcMar>
            <w:vAlign w:val="center"/>
          </w:tcPr>
          <w:p w14:paraId="5262FC55" w14:textId="77777777" w:rsidR="001F5413" w:rsidRPr="00976F78" w:rsidRDefault="001F5413" w:rsidP="00A52B74">
            <w:pPr>
              <w:pStyle w:val="TableHeaderTables"/>
              <w:rPr>
                <w:rFonts w:ascii="Arial" w:hAnsi="Arial" w:cs="Arial"/>
                <w:color w:val="auto"/>
                <w:sz w:val="24"/>
                <w:szCs w:val="24"/>
              </w:rPr>
            </w:pPr>
            <w:r w:rsidRPr="00976F78">
              <w:rPr>
                <w:rFonts w:ascii="Arial" w:hAnsi="Arial" w:cs="Arial"/>
                <w:color w:val="auto"/>
                <w:sz w:val="24"/>
                <w:szCs w:val="24"/>
              </w:rPr>
              <w:t>Definition</w:t>
            </w:r>
          </w:p>
        </w:tc>
      </w:tr>
      <w:tr w:rsidR="001F5413" w:rsidRPr="007C63B9" w14:paraId="562F1864"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4353460" w14:textId="77777777" w:rsidR="001F5413" w:rsidRPr="00976F78" w:rsidRDefault="001F5413" w:rsidP="0059346D">
            <w:pPr>
              <w:pStyle w:val="TableLeftColumnTables"/>
              <w:spacing w:before="60" w:after="60"/>
              <w:rPr>
                <w:rFonts w:ascii="Arial" w:hAnsi="Arial" w:cs="Arial"/>
                <w:b w:val="0"/>
                <w:szCs w:val="22"/>
              </w:rPr>
            </w:pPr>
            <w:r w:rsidRPr="00976F78">
              <w:rPr>
                <w:rFonts w:ascii="Arial" w:hAnsi="Arial" w:cs="Arial"/>
                <w:b w:val="0"/>
                <w:szCs w:val="22"/>
              </w:rPr>
              <w:t>Autoclave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827492D" w14:textId="77777777" w:rsidR="001F5413" w:rsidRPr="00976F78" w:rsidRDefault="001F5413" w:rsidP="0059346D">
            <w:pPr>
              <w:pStyle w:val="TableLeftColumnTables"/>
              <w:spacing w:before="60" w:after="60"/>
              <w:rPr>
                <w:rFonts w:ascii="Arial" w:hAnsi="Arial" w:cs="Arial"/>
                <w:b w:val="0"/>
                <w:szCs w:val="22"/>
              </w:rPr>
            </w:pPr>
            <w:r w:rsidRPr="00976F78">
              <w:rPr>
                <w:rFonts w:ascii="Arial" w:hAnsi="Arial" w:cs="Arial"/>
                <w:b w:val="0"/>
                <w:szCs w:val="22"/>
              </w:rPr>
              <w:t>Colloquial term for a steam-under-pressure steriliser (AS/NZS 4815:2006)</w:t>
            </w:r>
          </w:p>
        </w:tc>
      </w:tr>
      <w:tr w:rsidR="001F5413" w:rsidRPr="007C63B9" w14:paraId="40C32C8E"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02E3D80D"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Calibration</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9E42743"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 xml:space="preserve">The comparison of a measurement system or device of unknown accuracy to a measurement system or device of a known accuracy to detect, correlate, report, or eliminate by adjustment, any variation from the required performance limits of the unverified measurement system or device </w:t>
            </w:r>
            <w:r w:rsidRPr="00976F78">
              <w:rPr>
                <w:rFonts w:ascii="Arial" w:hAnsi="Arial" w:cs="Arial"/>
                <w:b w:val="0"/>
                <w:szCs w:val="22"/>
              </w:rPr>
              <w:br/>
              <w:t>(AS/NZS 4815:2006).</w:t>
            </w:r>
          </w:p>
        </w:tc>
      </w:tr>
      <w:tr w:rsidR="001F5413" w:rsidRPr="007C63B9" w14:paraId="740E436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1A910DB1"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CARM</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9C70B6D" w14:textId="77777777" w:rsidR="001F5413" w:rsidRPr="00976F78" w:rsidRDefault="00CF1416" w:rsidP="00944C91">
            <w:pPr>
              <w:pStyle w:val="TableLeftColumnTables"/>
              <w:spacing w:before="60" w:after="60"/>
              <w:rPr>
                <w:rFonts w:ascii="Arial" w:hAnsi="Arial" w:cs="Arial"/>
                <w:b w:val="0"/>
                <w:szCs w:val="22"/>
              </w:rPr>
            </w:pPr>
            <w:hyperlink r:id="rId216" w:history="1">
              <w:r w:rsidR="001F5413" w:rsidRPr="00944C91">
                <w:rPr>
                  <w:rFonts w:ascii="Arial" w:hAnsi="Arial" w:cs="Arial"/>
                  <w:b w:val="0"/>
                  <w:szCs w:val="22"/>
                </w:rPr>
                <w:t>The Centre for Adverse Reactions Monitoring</w:t>
              </w:r>
            </w:hyperlink>
            <w:r w:rsidR="001F5413" w:rsidRPr="00976F78">
              <w:rPr>
                <w:rFonts w:ascii="Arial" w:hAnsi="Arial" w:cs="Arial"/>
                <w:b w:val="0"/>
                <w:szCs w:val="22"/>
              </w:rPr>
              <w:t>: The CARM database provides New Zealand–specific information on adverse reactions to medicines and vaccines.</w:t>
            </w:r>
          </w:p>
        </w:tc>
      </w:tr>
      <w:tr w:rsidR="001F5413" w:rsidRPr="007C63B9" w14:paraId="50891C4E"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23D2C25"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CD</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5FD38458"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Controlled drug</w:t>
            </w:r>
          </w:p>
        </w:tc>
      </w:tr>
      <w:tr w:rsidR="001F5413" w:rsidRPr="007C63B9" w14:paraId="13146B2C"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70FAB3C"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Chemical indicator</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6F2900E6"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 xml:space="preserve">Dye, which can be impregnated into materials or contained within a device, and which changes colour when subjected to the sterilising process </w:t>
            </w:r>
            <w:r w:rsidRPr="00976F78">
              <w:rPr>
                <w:rFonts w:ascii="Arial" w:hAnsi="Arial" w:cs="Arial"/>
                <w:b w:val="0"/>
                <w:szCs w:val="22"/>
              </w:rPr>
              <w:br/>
              <w:t>(AS/NZS 4815:2006).</w:t>
            </w:r>
          </w:p>
        </w:tc>
      </w:tr>
      <w:tr w:rsidR="001F5413" w:rsidRPr="007C63B9" w14:paraId="443AEA37"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116034F4"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Cleaning</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2DC306F"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removal of soil and reduction in the number of microorganisms from a surface, by a process such as washing with water and detergent without prior processing (AS/NZS 4815:2006).</w:t>
            </w:r>
          </w:p>
        </w:tc>
      </w:tr>
      <w:tr w:rsidR="004A0DC1" w:rsidRPr="007C63B9" w14:paraId="24A8B670"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EF0FEDD" w14:textId="3760772C" w:rsidR="004A0DC1" w:rsidRPr="00944C91" w:rsidRDefault="004A0DC1" w:rsidP="00944C91">
            <w:pPr>
              <w:pStyle w:val="TableLeftColumnTables"/>
              <w:spacing w:before="60" w:after="60"/>
              <w:rPr>
                <w:rFonts w:ascii="Arial" w:hAnsi="Arial" w:cs="Arial"/>
                <w:b w:val="0"/>
                <w:szCs w:val="22"/>
              </w:rPr>
            </w:pPr>
            <w:r w:rsidRPr="00944C91">
              <w:rPr>
                <w:rFonts w:ascii="Arial" w:hAnsi="Arial" w:cs="Arial"/>
                <w:b w:val="0"/>
                <w:szCs w:val="22"/>
              </w:rPr>
              <w:t>Clinical correspondence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E6E3309" w14:textId="5C4C63EB" w:rsidR="004A0DC1" w:rsidRPr="00944C91" w:rsidRDefault="004A0DC1" w:rsidP="00944C91">
            <w:pPr>
              <w:pStyle w:val="TableLeftColumnTables"/>
              <w:spacing w:before="60" w:after="60"/>
              <w:rPr>
                <w:rFonts w:ascii="Arial" w:hAnsi="Arial" w:cs="Arial"/>
                <w:b w:val="0"/>
                <w:szCs w:val="22"/>
              </w:rPr>
            </w:pPr>
            <w:r w:rsidRPr="00944C91">
              <w:rPr>
                <w:rFonts w:ascii="Arial" w:hAnsi="Arial" w:cs="Arial"/>
                <w:b w:val="0"/>
                <w:szCs w:val="22"/>
              </w:rPr>
              <w:t>Includes test results, investigations, medical reports (received and sent), procedures and referrals for tests and procedures.  It also includes secondary/specialist referrals</w:t>
            </w:r>
          </w:p>
        </w:tc>
      </w:tr>
      <w:tr w:rsidR="00FF127F" w:rsidRPr="007C63B9" w14:paraId="069F0C14"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1FB845C" w14:textId="1E9F1B2F" w:rsidR="00FF127F" w:rsidRPr="00944C91" w:rsidRDefault="00FF127F" w:rsidP="00944C91">
            <w:pPr>
              <w:pStyle w:val="TableLeftColumnTables"/>
              <w:spacing w:before="60" w:after="60"/>
              <w:rPr>
                <w:rFonts w:ascii="Arial" w:hAnsi="Arial" w:cs="Arial"/>
                <w:b w:val="0"/>
                <w:szCs w:val="22"/>
              </w:rPr>
            </w:pPr>
            <w:r w:rsidRPr="00944C91">
              <w:rPr>
                <w:rFonts w:ascii="Arial" w:hAnsi="Arial" w:cs="Arial"/>
                <w:b w:val="0"/>
                <w:szCs w:val="22"/>
              </w:rPr>
              <w:t>Clinical team</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0911B024" w14:textId="63B2D35E" w:rsidR="00FF127F" w:rsidRPr="00944C91" w:rsidRDefault="00FF127F" w:rsidP="00944C91">
            <w:pPr>
              <w:pStyle w:val="TableLeftColumnTables"/>
              <w:spacing w:before="60" w:after="60"/>
              <w:rPr>
                <w:rFonts w:ascii="Arial" w:hAnsi="Arial" w:cs="Arial"/>
                <w:b w:val="0"/>
                <w:szCs w:val="22"/>
              </w:rPr>
            </w:pPr>
            <w:r w:rsidRPr="00944C91">
              <w:rPr>
                <w:rFonts w:ascii="Arial" w:hAnsi="Arial" w:cs="Arial"/>
                <w:b w:val="0"/>
                <w:szCs w:val="22"/>
              </w:rPr>
              <w:t>Refers to clinical staff only</w:t>
            </w:r>
          </w:p>
        </w:tc>
      </w:tr>
      <w:tr w:rsidR="001F5413" w:rsidRPr="007C63B9" w14:paraId="7CB28325"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3381C4B"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CME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AA23AB2"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Continuing medical education</w:t>
            </w:r>
          </w:p>
        </w:tc>
      </w:tr>
      <w:tr w:rsidR="001F5413" w:rsidRPr="007C63B9" w14:paraId="5F2F9433"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75E2364"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Cold Chain</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2180A466" w14:textId="13C44034"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‘Cold Chain’ is the system of transporting and storing vaccine at +2°C to +8°C from the place of manufacture to the point of vaccine administration</w:t>
            </w:r>
            <w:r w:rsidR="000759B8" w:rsidRPr="00976F78">
              <w:rPr>
                <w:rFonts w:ascii="Arial" w:hAnsi="Arial" w:cs="Arial"/>
                <w:b w:val="0"/>
                <w:szCs w:val="22"/>
              </w:rPr>
              <w:t>.</w:t>
            </w:r>
            <w:r w:rsidRPr="00976F78">
              <w:rPr>
                <w:rFonts w:ascii="Arial" w:hAnsi="Arial" w:cs="Arial"/>
                <w:b w:val="0"/>
                <w:szCs w:val="22"/>
              </w:rPr>
              <w:t xml:space="preserve"> </w:t>
            </w:r>
          </w:p>
        </w:tc>
      </w:tr>
      <w:tr w:rsidR="001F5413" w:rsidRPr="007C63B9" w14:paraId="7CB8A830"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F555CBE"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Control measure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8D3B44C" w14:textId="0B1C36BF"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A way of eliminating or minimising the risk of harm</w:t>
            </w:r>
          </w:p>
        </w:tc>
      </w:tr>
      <w:tr w:rsidR="001F5413" w:rsidRPr="007C63B9" w14:paraId="2712CA61"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407119CB"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CQI</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DF7660C"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Continuous quality improvement</w:t>
            </w:r>
          </w:p>
        </w:tc>
      </w:tr>
      <w:tr w:rsidR="001F5413" w:rsidRPr="007C63B9" w14:paraId="7098549D"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16EAB3EC"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lastRenderedPageBreak/>
              <w:t>DHB</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5051F8E"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District health board</w:t>
            </w:r>
          </w:p>
        </w:tc>
      </w:tr>
      <w:tr w:rsidR="001F5413" w:rsidRPr="007C63B9" w14:paraId="41901ED1"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1EF2F68F"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Disinfection</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69E99899"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inactivation of non-sporing organisms using either heat and water (thermal) or by chemical means.</w:t>
            </w:r>
          </w:p>
        </w:tc>
      </w:tr>
      <w:tr w:rsidR="00C87E3A" w:rsidRPr="007C63B9" w14:paraId="20E5C255"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512FDDAA" w14:textId="070173D8" w:rsidR="00C87E3A" w:rsidRPr="00976F78" w:rsidRDefault="00C87E3A" w:rsidP="00944C91">
            <w:pPr>
              <w:pStyle w:val="TableLeftColumnTables"/>
              <w:spacing w:before="60" w:after="60"/>
              <w:rPr>
                <w:rFonts w:ascii="Arial" w:hAnsi="Arial" w:cs="Arial"/>
                <w:b w:val="0"/>
                <w:szCs w:val="22"/>
              </w:rPr>
            </w:pPr>
            <w:r w:rsidRPr="00976F78">
              <w:rPr>
                <w:rFonts w:ascii="Arial" w:hAnsi="Arial" w:cs="Arial"/>
                <w:b w:val="0"/>
                <w:szCs w:val="22"/>
              </w:rPr>
              <w:t>Equity</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457A1C5" w14:textId="14A956C2" w:rsidR="00C87E3A" w:rsidRPr="00976F78" w:rsidRDefault="00C87E3A" w:rsidP="00944C91">
            <w:pPr>
              <w:pStyle w:val="TableLeftColumnTables"/>
              <w:spacing w:before="60" w:after="60"/>
              <w:rPr>
                <w:rFonts w:ascii="Arial" w:hAnsi="Arial" w:cs="Arial"/>
                <w:b w:val="0"/>
                <w:szCs w:val="22"/>
              </w:rPr>
            </w:pPr>
            <w:r w:rsidRPr="00976F78">
              <w:rPr>
                <w:rFonts w:ascii="Arial" w:hAnsi="Arial" w:cs="Arial"/>
                <w:b w:val="0"/>
                <w:szCs w:val="22"/>
              </w:rPr>
              <w:t>In Aotearoa New Zealand, people have differences in health that are not only avoidable but unfair and unjust. Equity recognises different people with different levels of advantage require different approaches and resources to get equitable health outcomes.</w:t>
            </w:r>
            <w:r w:rsidR="00DC4F18" w:rsidRPr="00BC40A4">
              <w:rPr>
                <w:rFonts w:ascii="Arial" w:hAnsi="Arial" w:cs="Arial"/>
                <w:b w:val="0"/>
                <w:szCs w:val="22"/>
                <w:vertAlign w:val="superscript"/>
              </w:rPr>
              <w:footnoteReference w:id="1"/>
            </w:r>
          </w:p>
        </w:tc>
      </w:tr>
      <w:tr w:rsidR="001F5413" w:rsidRPr="007C63B9" w14:paraId="1974DDAC"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50FB0DB8"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Ethnicity Data Protocols for the Health and Disability Sector</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A4A24DC"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Procedures for the standardised collection, recording and output of ethnicity data for the New Zealand health and disability sector (Ministry of Health).</w:t>
            </w:r>
          </w:p>
        </w:tc>
      </w:tr>
      <w:tr w:rsidR="001F5413" w:rsidRPr="007C63B9" w14:paraId="7879D79B"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073A7C0D"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Evacuation scheme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69B5A4A2" w14:textId="746813CC" w:rsidR="001F5413" w:rsidRPr="00976F78" w:rsidRDefault="00193146" w:rsidP="00944C91">
            <w:pPr>
              <w:pStyle w:val="TableLeftColumnTables"/>
              <w:spacing w:before="60" w:after="60"/>
              <w:rPr>
                <w:rFonts w:ascii="Arial" w:hAnsi="Arial" w:cs="Arial"/>
                <w:b w:val="0"/>
                <w:szCs w:val="22"/>
              </w:rPr>
            </w:pPr>
            <w:r w:rsidRPr="00976F78">
              <w:rPr>
                <w:rFonts w:ascii="Arial" w:hAnsi="Arial" w:cs="Arial"/>
                <w:b w:val="0"/>
                <w:szCs w:val="22"/>
              </w:rPr>
              <w:t xml:space="preserve">An </w:t>
            </w:r>
            <w:hyperlink r:id="rId217" w:history="1">
              <w:r w:rsidRPr="00944C91">
                <w:rPr>
                  <w:rFonts w:ascii="Arial" w:hAnsi="Arial" w:cs="Arial"/>
                  <w:b w:val="0"/>
                  <w:szCs w:val="22"/>
                </w:rPr>
                <w:t>evacuation scheme</w:t>
              </w:r>
            </w:hyperlink>
            <w:r w:rsidRPr="00976F78">
              <w:rPr>
                <w:rFonts w:ascii="Arial" w:hAnsi="Arial" w:cs="Arial"/>
                <w:b w:val="0"/>
                <w:szCs w:val="22"/>
              </w:rPr>
              <w:t xml:space="preserve"> describes the measures that have been put in place to enable safe and timely evacuation if there is a fire (or suspected fire)</w:t>
            </w:r>
            <w:r>
              <w:rPr>
                <w:rFonts w:ascii="Arial" w:hAnsi="Arial" w:cs="Arial"/>
                <w:b w:val="0"/>
                <w:szCs w:val="22"/>
              </w:rPr>
              <w:t xml:space="preserve"> or other reason to immediately vacate the practice premises</w:t>
            </w:r>
            <w:r w:rsidRPr="00976F78">
              <w:rPr>
                <w:rFonts w:ascii="Arial" w:hAnsi="Arial" w:cs="Arial"/>
                <w:b w:val="0"/>
                <w:szCs w:val="22"/>
              </w:rPr>
              <w:t>.</w:t>
            </w:r>
          </w:p>
        </w:tc>
      </w:tr>
      <w:tr w:rsidR="001F5413" w:rsidRPr="007C63B9" w14:paraId="008509A0"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5513FB4"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GP2GP</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905D9E5" w14:textId="77777777" w:rsidR="001F5413" w:rsidRPr="00976F78" w:rsidRDefault="00CF1416" w:rsidP="00944C91">
            <w:pPr>
              <w:pStyle w:val="TableLeftColumnTables"/>
              <w:spacing w:before="60" w:after="60"/>
              <w:rPr>
                <w:rFonts w:ascii="Arial" w:hAnsi="Arial" w:cs="Arial"/>
                <w:b w:val="0"/>
                <w:szCs w:val="22"/>
              </w:rPr>
            </w:pPr>
            <w:hyperlink r:id="rId218" w:history="1">
              <w:r w:rsidR="001F5413" w:rsidRPr="00944C91">
                <w:rPr>
                  <w:rFonts w:ascii="Arial" w:hAnsi="Arial" w:cs="Arial"/>
                  <w:b w:val="0"/>
                  <w:szCs w:val="22"/>
                </w:rPr>
                <w:t>GP2GP</w:t>
              </w:r>
            </w:hyperlink>
            <w:r w:rsidR="001F5413" w:rsidRPr="00976F78">
              <w:rPr>
                <w:rFonts w:ascii="Arial" w:hAnsi="Arial" w:cs="Arial"/>
                <w:b w:val="0"/>
                <w:szCs w:val="22"/>
              </w:rPr>
              <w:t xml:space="preserve"> enables medical records to be electronically transferred from one GP to another.</w:t>
            </w:r>
          </w:p>
        </w:tc>
      </w:tr>
      <w:tr w:rsidR="001F5413" w:rsidRPr="007C63B9" w14:paraId="3A7D7EF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7117893"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Hazard</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644B5EB7" w14:textId="546CE313"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Anything that can cause harm</w:t>
            </w:r>
          </w:p>
        </w:tc>
      </w:tr>
      <w:tr w:rsidR="001F5413" w:rsidRPr="007C63B9" w14:paraId="2676C31F"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D05F644"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Health monitoring</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58C55C67"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Monitoring workers’ health to see if their work is harming their health and to assess ongoing effects.</w:t>
            </w:r>
          </w:p>
        </w:tc>
      </w:tr>
      <w:tr w:rsidR="001F5413" w:rsidRPr="007C63B9" w14:paraId="256D9DA3"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14F060BF"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HISO</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64BC4345" w14:textId="77777777" w:rsidR="001F5413" w:rsidRPr="00976F78" w:rsidRDefault="00CF1416" w:rsidP="00944C91">
            <w:pPr>
              <w:pStyle w:val="TableLeftColumnTables"/>
              <w:spacing w:before="60" w:after="60"/>
              <w:rPr>
                <w:rFonts w:ascii="Arial" w:hAnsi="Arial" w:cs="Arial"/>
                <w:b w:val="0"/>
                <w:szCs w:val="22"/>
              </w:rPr>
            </w:pPr>
            <w:hyperlink r:id="rId219" w:history="1">
              <w:r w:rsidR="001F5413" w:rsidRPr="00944C91">
                <w:rPr>
                  <w:rFonts w:ascii="Arial" w:hAnsi="Arial" w:cs="Arial"/>
                  <w:b w:val="0"/>
                  <w:szCs w:val="22"/>
                </w:rPr>
                <w:t>Health Information Standards Organisation</w:t>
              </w:r>
            </w:hyperlink>
          </w:p>
        </w:tc>
      </w:tr>
      <w:tr w:rsidR="001F5413" w:rsidRPr="007C63B9" w14:paraId="4428FE02"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9453B72"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HPCA</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0067E52" w14:textId="77777777" w:rsidR="001F5413" w:rsidRPr="00976F78" w:rsidRDefault="00CF1416" w:rsidP="00944C91">
            <w:pPr>
              <w:pStyle w:val="TableLeftColumnTables"/>
              <w:spacing w:before="60" w:after="60"/>
              <w:rPr>
                <w:rFonts w:ascii="Arial" w:hAnsi="Arial" w:cs="Arial"/>
                <w:b w:val="0"/>
                <w:szCs w:val="22"/>
              </w:rPr>
            </w:pPr>
            <w:hyperlink r:id="rId220" w:history="1">
              <w:r w:rsidR="001F5413" w:rsidRPr="00944C91">
                <w:rPr>
                  <w:rFonts w:ascii="Arial" w:hAnsi="Arial" w:cs="Arial"/>
                  <w:b w:val="0"/>
                  <w:szCs w:val="22"/>
                </w:rPr>
                <w:t>Health Practitioners Competence Assurance Act 2003</w:t>
              </w:r>
            </w:hyperlink>
          </w:p>
        </w:tc>
      </w:tr>
      <w:tr w:rsidR="001F5413" w:rsidRPr="007C63B9" w14:paraId="2C8E34F0"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3A5740E"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HQSC</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2D623B6B" w14:textId="77777777" w:rsidR="001F5413" w:rsidRPr="00976F78" w:rsidRDefault="00CF1416" w:rsidP="00944C91">
            <w:pPr>
              <w:pStyle w:val="TableLeftColumnTables"/>
              <w:spacing w:before="60" w:after="60"/>
              <w:rPr>
                <w:rFonts w:ascii="Arial" w:hAnsi="Arial" w:cs="Arial"/>
                <w:b w:val="0"/>
                <w:szCs w:val="22"/>
              </w:rPr>
            </w:pPr>
            <w:hyperlink r:id="rId221" w:history="1">
              <w:r w:rsidR="001F5413" w:rsidRPr="00944C91">
                <w:rPr>
                  <w:rFonts w:ascii="Arial" w:hAnsi="Arial" w:cs="Arial"/>
                  <w:b w:val="0"/>
                  <w:szCs w:val="22"/>
                </w:rPr>
                <w:t>Health Quality &amp; Safety Commission</w:t>
              </w:r>
            </w:hyperlink>
          </w:p>
        </w:tc>
      </w:tr>
      <w:tr w:rsidR="001F5413" w:rsidRPr="007C63B9" w14:paraId="5354B64B"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691B673"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HSWA</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F113CC1"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Health and Safety at Work Act 2015</w:t>
            </w:r>
          </w:p>
        </w:tc>
      </w:tr>
      <w:tr w:rsidR="001F5413" w:rsidRPr="007C63B9" w14:paraId="247E6EE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E6B27A2"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MCNZ</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5FDC324A" w14:textId="77777777" w:rsidR="001F5413" w:rsidRPr="00976F78" w:rsidRDefault="00CF1416" w:rsidP="00944C91">
            <w:pPr>
              <w:pStyle w:val="TableLeftColumnTables"/>
              <w:spacing w:before="60" w:after="60"/>
              <w:rPr>
                <w:rFonts w:ascii="Arial" w:hAnsi="Arial" w:cs="Arial"/>
                <w:b w:val="0"/>
                <w:szCs w:val="22"/>
              </w:rPr>
            </w:pPr>
            <w:hyperlink r:id="rId222" w:history="1">
              <w:r w:rsidR="001F5413" w:rsidRPr="00944C91">
                <w:rPr>
                  <w:rFonts w:ascii="Arial" w:hAnsi="Arial" w:cs="Arial"/>
                  <w:b w:val="0"/>
                  <w:szCs w:val="22"/>
                </w:rPr>
                <w:t>Medical Council of New Zealand</w:t>
              </w:r>
            </w:hyperlink>
            <w:r w:rsidR="001F5413" w:rsidRPr="00976F78">
              <w:rPr>
                <w:rFonts w:ascii="Arial" w:hAnsi="Arial" w:cs="Arial"/>
                <w:b w:val="0"/>
                <w:szCs w:val="22"/>
              </w:rPr>
              <w:t>:</w:t>
            </w:r>
          </w:p>
          <w:p w14:paraId="1D8222D1"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Medical Council registers doctors in New Zealand and carries responsibilities in the areas of standards, conduct and competence.</w:t>
            </w:r>
          </w:p>
        </w:tc>
      </w:tr>
      <w:tr w:rsidR="001F5413" w:rsidRPr="007C63B9" w14:paraId="67C76A95"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171C952"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MECA</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25451F1D"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Multi-employer collective agreement</w:t>
            </w:r>
          </w:p>
        </w:tc>
      </w:tr>
      <w:tr w:rsidR="001F5413" w:rsidRPr="007C63B9" w14:paraId="6894808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BF239B9"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lastRenderedPageBreak/>
              <w:t>Notifiable event</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569D38AF"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When someone dies or when a notifiable incident, illness or injury occurs as a result of work (See sections 23 and 24 of HSWA).</w:t>
            </w:r>
          </w:p>
        </w:tc>
      </w:tr>
      <w:tr w:rsidR="001F5413" w:rsidRPr="007C63B9" w14:paraId="1824E44C"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4142EB6"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NSU</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550CA45" w14:textId="77777777" w:rsidR="001F5413" w:rsidRPr="00976F78" w:rsidRDefault="00CF1416" w:rsidP="00944C91">
            <w:pPr>
              <w:pStyle w:val="TableLeftColumnTables"/>
              <w:spacing w:before="60" w:after="60"/>
              <w:rPr>
                <w:rFonts w:ascii="Arial" w:hAnsi="Arial" w:cs="Arial"/>
                <w:b w:val="0"/>
                <w:szCs w:val="22"/>
              </w:rPr>
            </w:pPr>
            <w:hyperlink r:id="rId223" w:history="1">
              <w:r w:rsidR="001F5413" w:rsidRPr="00944C91">
                <w:rPr>
                  <w:rFonts w:ascii="Arial" w:hAnsi="Arial" w:cs="Arial"/>
                  <w:b w:val="0"/>
                  <w:szCs w:val="22"/>
                </w:rPr>
                <w:t>National Screening Unit</w:t>
              </w:r>
            </w:hyperlink>
            <w:r w:rsidR="001F5413" w:rsidRPr="00976F78">
              <w:rPr>
                <w:rFonts w:ascii="Arial" w:hAnsi="Arial" w:cs="Arial"/>
                <w:b w:val="0"/>
                <w:szCs w:val="22"/>
              </w:rPr>
              <w:t>:</w:t>
            </w:r>
          </w:p>
          <w:p w14:paraId="776C7DD9" w14:textId="72B34999"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Responsible for the development, management and monitoring of nationally organised population-based screening in New Zealand.</w:t>
            </w:r>
          </w:p>
        </w:tc>
      </w:tr>
      <w:tr w:rsidR="001F5413" w:rsidRPr="007C63B9" w14:paraId="757F3547"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5A56F1D4"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NZePS</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54883106" w14:textId="77777777" w:rsidR="001F5413" w:rsidRPr="00976F78" w:rsidRDefault="00CF1416" w:rsidP="00944C91">
            <w:pPr>
              <w:pStyle w:val="TableLeftColumnTables"/>
              <w:spacing w:before="60" w:after="60"/>
              <w:rPr>
                <w:rFonts w:ascii="Arial" w:hAnsi="Arial" w:cs="Arial"/>
                <w:b w:val="0"/>
                <w:szCs w:val="22"/>
              </w:rPr>
            </w:pPr>
            <w:hyperlink r:id="rId224" w:history="1">
              <w:r w:rsidR="001F5413" w:rsidRPr="00944C91">
                <w:rPr>
                  <w:rFonts w:ascii="Arial" w:hAnsi="Arial" w:cs="Arial"/>
                  <w:b w:val="0"/>
                  <w:szCs w:val="22"/>
                </w:rPr>
                <w:t>NZ ePrescription Service</w:t>
              </w:r>
            </w:hyperlink>
            <w:r w:rsidR="001F5413" w:rsidRPr="00976F78">
              <w:rPr>
                <w:rFonts w:ascii="Arial" w:hAnsi="Arial" w:cs="Arial"/>
                <w:b w:val="0"/>
                <w:szCs w:val="22"/>
              </w:rPr>
              <w:t>:</w:t>
            </w:r>
          </w:p>
          <w:p w14:paraId="07CD9950" w14:textId="2ADC4B23"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New Zealand Electronic Prescription Service (NZePS) provides a secure messaging channel for prescribing and dispensing systems to electronically exchange prescription information.</w:t>
            </w:r>
          </w:p>
        </w:tc>
      </w:tr>
      <w:tr w:rsidR="001F5413" w:rsidRPr="007C63B9" w14:paraId="077BFA5D"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7E0F0A4"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PES</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B7CA2BD" w14:textId="77777777" w:rsidR="001F5413" w:rsidRPr="00976F78" w:rsidRDefault="00CF1416" w:rsidP="00944C91">
            <w:pPr>
              <w:pStyle w:val="TableLeftColumnTables"/>
              <w:spacing w:before="60" w:after="60"/>
              <w:rPr>
                <w:rFonts w:ascii="Arial" w:hAnsi="Arial" w:cs="Arial"/>
                <w:b w:val="0"/>
                <w:szCs w:val="22"/>
              </w:rPr>
            </w:pPr>
            <w:hyperlink r:id="rId225" w:history="1">
              <w:r w:rsidR="001F5413" w:rsidRPr="00944C91">
                <w:rPr>
                  <w:rFonts w:ascii="Arial" w:hAnsi="Arial" w:cs="Arial"/>
                  <w:b w:val="0"/>
                  <w:szCs w:val="22"/>
                </w:rPr>
                <w:t>Primary care Patient Experience Survey</w:t>
              </w:r>
            </w:hyperlink>
          </w:p>
        </w:tc>
      </w:tr>
      <w:tr w:rsidR="001F5413" w:rsidRPr="007C63B9" w14:paraId="299611B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016AD36D"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PHO</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A3DA2A8" w14:textId="21B43D98" w:rsidR="001F5413" w:rsidRPr="00976F78" w:rsidRDefault="00CF1416" w:rsidP="00944C91">
            <w:pPr>
              <w:pStyle w:val="TableLeftColumnTables"/>
              <w:spacing w:before="60" w:after="60"/>
              <w:rPr>
                <w:rFonts w:ascii="Arial" w:hAnsi="Arial" w:cs="Arial"/>
                <w:b w:val="0"/>
                <w:szCs w:val="22"/>
              </w:rPr>
            </w:pPr>
            <w:hyperlink r:id="rId226" w:history="1">
              <w:r w:rsidR="001F5413" w:rsidRPr="00944C91">
                <w:rPr>
                  <w:rFonts w:ascii="Arial" w:hAnsi="Arial" w:cs="Arial"/>
                  <w:b w:val="0"/>
                  <w:szCs w:val="22"/>
                </w:rPr>
                <w:t xml:space="preserve">Primary </w:t>
              </w:r>
              <w:r w:rsidR="00C34F95">
                <w:rPr>
                  <w:rFonts w:ascii="Arial" w:hAnsi="Arial" w:cs="Arial"/>
                  <w:b w:val="0"/>
                  <w:szCs w:val="22"/>
                </w:rPr>
                <w:t>H</w:t>
              </w:r>
              <w:r w:rsidR="001F5413" w:rsidRPr="00944C91">
                <w:rPr>
                  <w:rFonts w:ascii="Arial" w:hAnsi="Arial" w:cs="Arial"/>
                  <w:b w:val="0"/>
                  <w:szCs w:val="22"/>
                </w:rPr>
                <w:t xml:space="preserve">ealth </w:t>
              </w:r>
              <w:r w:rsidR="00C34F95">
                <w:rPr>
                  <w:rFonts w:ascii="Arial" w:hAnsi="Arial" w:cs="Arial"/>
                  <w:b w:val="0"/>
                  <w:szCs w:val="22"/>
                </w:rPr>
                <w:t>O</w:t>
              </w:r>
              <w:r w:rsidR="001F5413" w:rsidRPr="00944C91">
                <w:rPr>
                  <w:rFonts w:ascii="Arial" w:hAnsi="Arial" w:cs="Arial"/>
                  <w:b w:val="0"/>
                  <w:szCs w:val="22"/>
                </w:rPr>
                <w:t>rganisation</w:t>
              </w:r>
            </w:hyperlink>
          </w:p>
        </w:tc>
      </w:tr>
      <w:tr w:rsidR="001F5413" w:rsidRPr="007C63B9" w14:paraId="34943937"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D32D3F9"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PMS</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21FAFBA2" w14:textId="206D4176"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w:t>
            </w:r>
            <w:r w:rsidR="00193146">
              <w:rPr>
                <w:rFonts w:ascii="Arial" w:hAnsi="Arial" w:cs="Arial"/>
                <w:b w:val="0"/>
                <w:szCs w:val="22"/>
              </w:rPr>
              <w:t xml:space="preserve">atient </w:t>
            </w:r>
            <w:r w:rsidRPr="00976F78">
              <w:rPr>
                <w:rFonts w:ascii="Arial" w:hAnsi="Arial" w:cs="Arial"/>
                <w:b w:val="0"/>
                <w:szCs w:val="22"/>
              </w:rPr>
              <w:t>management system</w:t>
            </w:r>
          </w:p>
        </w:tc>
      </w:tr>
      <w:tr w:rsidR="001F5413" w:rsidRPr="007C63B9" w14:paraId="58CA153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563B1C5"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PPE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CA7B4A6" w14:textId="0763ED53"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 xml:space="preserve">Personal protective equipment – anything used or worn by a person (including clothing) to minimise risks to the person’s health and safety </w:t>
            </w:r>
            <w:r w:rsidRPr="00976F78">
              <w:rPr>
                <w:rFonts w:ascii="Arial" w:hAnsi="Arial" w:cs="Arial"/>
                <w:b w:val="0"/>
                <w:szCs w:val="22"/>
              </w:rPr>
              <w:br/>
              <w:t>(</w:t>
            </w:r>
            <w:r w:rsidR="002D3694" w:rsidRPr="00976F78">
              <w:rPr>
                <w:rFonts w:ascii="Arial" w:hAnsi="Arial" w:cs="Arial"/>
                <w:b w:val="0"/>
                <w:szCs w:val="22"/>
              </w:rPr>
              <w:t>e.g.</w:t>
            </w:r>
            <w:r w:rsidRPr="00976F78">
              <w:rPr>
                <w:rFonts w:ascii="Arial" w:hAnsi="Arial" w:cs="Arial"/>
                <w:b w:val="0"/>
                <w:szCs w:val="22"/>
              </w:rPr>
              <w:t xml:space="preserve"> mask, gloves).</w:t>
            </w:r>
          </w:p>
        </w:tc>
      </w:tr>
      <w:tr w:rsidR="001F5413" w:rsidRPr="007C63B9" w14:paraId="7EA1B77A"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9D3B0FF"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PRIME programme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A9C983F" w14:textId="77777777" w:rsidR="00193146" w:rsidRDefault="00193146" w:rsidP="00193146">
            <w:pPr>
              <w:pStyle w:val="TableLeftColumnTables"/>
              <w:spacing w:before="60" w:after="60"/>
              <w:rPr>
                <w:rFonts w:ascii="Arial" w:hAnsi="Arial" w:cs="Arial"/>
                <w:b w:val="0"/>
                <w:szCs w:val="22"/>
              </w:rPr>
            </w:pPr>
            <w:r>
              <w:rPr>
                <w:rFonts w:ascii="Arial" w:hAnsi="Arial" w:cs="Arial"/>
                <w:b w:val="0"/>
                <w:szCs w:val="22"/>
              </w:rPr>
              <w:t>PRIME – Primary Response in Medical Emergency</w:t>
            </w:r>
          </w:p>
          <w:p w14:paraId="3939EF65"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 xml:space="preserve">The </w:t>
            </w:r>
            <w:hyperlink r:id="rId227" w:history="1">
              <w:r w:rsidRPr="00944C91">
                <w:rPr>
                  <w:rFonts w:ascii="Arial" w:hAnsi="Arial" w:cs="Arial"/>
                  <w:b w:val="0"/>
                  <w:szCs w:val="22"/>
                </w:rPr>
                <w:t>PRIME programme</w:t>
              </w:r>
            </w:hyperlink>
            <w:r w:rsidRPr="00976F78">
              <w:rPr>
                <w:rFonts w:ascii="Arial" w:hAnsi="Arial" w:cs="Arial"/>
                <w:b w:val="0"/>
                <w:szCs w:val="22"/>
              </w:rPr>
              <w:t xml:space="preserve"> utilises the skills of specially trained rural GPs and/or rural nurses in areas to support the ambulance service where the response time for assistance would otherwise be significant or where additional medical skills would assist with the patient’s condition.</w:t>
            </w:r>
          </w:p>
        </w:tc>
      </w:tr>
      <w:tr w:rsidR="001F5413" w:rsidRPr="007C63B9" w14:paraId="03E2D80B"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1D08AF98"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RCD</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1451FD3"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Residual current devices</w:t>
            </w:r>
          </w:p>
        </w:tc>
      </w:tr>
      <w:tr w:rsidR="001F5413" w:rsidRPr="007C63B9" w14:paraId="6582B250"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086D12C"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Reusable device</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F136126"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A device designated or intended by the manufacturer as suitable for reprocessing and reuse. It is not a device that is designated or intended by the manufacturer for single use only (AS/NZS 4815:2006).</w:t>
            </w:r>
          </w:p>
        </w:tc>
      </w:tr>
      <w:tr w:rsidR="001F5413" w:rsidRPr="007C63B9" w14:paraId="46B9CC72"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1FF9A27"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Risk</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9A262A6" w14:textId="77777777" w:rsidR="00193146" w:rsidRPr="00976F78" w:rsidRDefault="00193146" w:rsidP="00193146">
            <w:pPr>
              <w:pStyle w:val="TableLeftColumnTables"/>
              <w:spacing w:before="60" w:after="60"/>
              <w:rPr>
                <w:rFonts w:ascii="Arial" w:hAnsi="Arial" w:cs="Arial"/>
                <w:b w:val="0"/>
                <w:szCs w:val="22"/>
              </w:rPr>
            </w:pPr>
            <w:r w:rsidRPr="00976F78">
              <w:rPr>
                <w:rFonts w:ascii="Arial" w:hAnsi="Arial" w:cs="Arial"/>
                <w:b w:val="0"/>
                <w:szCs w:val="22"/>
              </w:rPr>
              <w:t>Risk can be described as the likelihood certain consequences (death, injury, illness</w:t>
            </w:r>
            <w:r>
              <w:rPr>
                <w:rFonts w:ascii="Arial" w:hAnsi="Arial" w:cs="Arial"/>
                <w:b w:val="0"/>
                <w:szCs w:val="22"/>
              </w:rPr>
              <w:t>, loss or other negative result</w:t>
            </w:r>
            <w:r w:rsidRPr="00976F78">
              <w:rPr>
                <w:rFonts w:ascii="Arial" w:hAnsi="Arial" w:cs="Arial"/>
                <w:b w:val="0"/>
                <w:szCs w:val="22"/>
              </w:rPr>
              <w:t>) occur when a person</w:t>
            </w:r>
            <w:r>
              <w:rPr>
                <w:rFonts w:ascii="Arial" w:hAnsi="Arial" w:cs="Arial"/>
                <w:b w:val="0"/>
                <w:szCs w:val="22"/>
              </w:rPr>
              <w:t>, process or activity</w:t>
            </w:r>
            <w:r w:rsidRPr="00976F78">
              <w:rPr>
                <w:rFonts w:ascii="Arial" w:hAnsi="Arial" w:cs="Arial"/>
                <w:b w:val="0"/>
                <w:szCs w:val="22"/>
              </w:rPr>
              <w:t xml:space="preserve"> is exposed to a hazard.</w:t>
            </w:r>
          </w:p>
          <w:p w14:paraId="43A5B266" w14:textId="65AF7BB4" w:rsidR="001F5413" w:rsidRPr="00976F78" w:rsidRDefault="00193146" w:rsidP="00193146">
            <w:pPr>
              <w:pStyle w:val="TableLeftColumnTables"/>
              <w:spacing w:before="60" w:after="60"/>
              <w:rPr>
                <w:rFonts w:ascii="Arial" w:hAnsi="Arial" w:cs="Arial"/>
                <w:b w:val="0"/>
                <w:szCs w:val="22"/>
              </w:rPr>
            </w:pPr>
            <w:r w:rsidRPr="00976F78">
              <w:rPr>
                <w:rFonts w:ascii="Arial" w:hAnsi="Arial" w:cs="Arial"/>
                <w:b w:val="0"/>
                <w:szCs w:val="22"/>
              </w:rPr>
              <w:t xml:space="preserve">Risks </w:t>
            </w:r>
            <w:r>
              <w:rPr>
                <w:rFonts w:ascii="Arial" w:hAnsi="Arial" w:cs="Arial"/>
                <w:b w:val="0"/>
                <w:szCs w:val="22"/>
              </w:rPr>
              <w:t xml:space="preserve">often involve </w:t>
            </w:r>
            <w:r w:rsidRPr="00976F78">
              <w:rPr>
                <w:rFonts w:ascii="Arial" w:hAnsi="Arial" w:cs="Arial"/>
                <w:b w:val="0"/>
                <w:szCs w:val="22"/>
              </w:rPr>
              <w:t>people being exposed to a hazard (a source of harm)</w:t>
            </w:r>
            <w:r>
              <w:rPr>
                <w:rFonts w:ascii="Arial" w:hAnsi="Arial" w:cs="Arial"/>
                <w:b w:val="0"/>
                <w:szCs w:val="22"/>
              </w:rPr>
              <w:t xml:space="preserve"> but can be non-human related</w:t>
            </w:r>
            <w:r w:rsidRPr="00976F78">
              <w:rPr>
                <w:rFonts w:ascii="Arial" w:hAnsi="Arial" w:cs="Arial"/>
                <w:b w:val="0"/>
                <w:szCs w:val="22"/>
              </w:rPr>
              <w:t>.</w:t>
            </w:r>
          </w:p>
        </w:tc>
      </w:tr>
      <w:tr w:rsidR="001F5413" w:rsidRPr="007C63B9" w14:paraId="68D642DB"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0E4FFA3"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lastRenderedPageBreak/>
              <w:t>RNZCGP</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C300255"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Royal New Zealand College of General Practitioners</w:t>
            </w:r>
          </w:p>
        </w:tc>
      </w:tr>
      <w:tr w:rsidR="001F5413" w:rsidRPr="007C63B9" w14:paraId="12358351"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ECFAC70"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SAC</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5C4F661A" w14:textId="6BEDC8FB" w:rsidR="00562F56" w:rsidRPr="00976F78" w:rsidRDefault="00CF1416" w:rsidP="00562F56">
            <w:pPr>
              <w:pStyle w:val="TableLeftColumnTables"/>
              <w:spacing w:before="60" w:after="60"/>
              <w:rPr>
                <w:rFonts w:ascii="Arial" w:hAnsi="Arial" w:cs="Arial"/>
                <w:b w:val="0"/>
                <w:szCs w:val="22"/>
              </w:rPr>
            </w:pPr>
            <w:hyperlink r:id="rId228" w:history="1"/>
            <w:hyperlink r:id="rId229" w:history="1">
              <w:r w:rsidR="00562F56" w:rsidRPr="00944C91">
                <w:rPr>
                  <w:rFonts w:ascii="Arial" w:hAnsi="Arial" w:cs="Arial"/>
                  <w:b w:val="0"/>
                  <w:szCs w:val="22"/>
                </w:rPr>
                <w:t>Severity assessment code</w:t>
              </w:r>
            </w:hyperlink>
            <w:r w:rsidR="00562F56" w:rsidRPr="00976F78">
              <w:rPr>
                <w:rFonts w:ascii="Arial" w:hAnsi="Arial" w:cs="Arial"/>
                <w:b w:val="0"/>
                <w:szCs w:val="22"/>
              </w:rPr>
              <w:t>:</w:t>
            </w:r>
          </w:p>
          <w:p w14:paraId="6D0CD7D9" w14:textId="77777777" w:rsidR="00562F56" w:rsidRPr="00976F78" w:rsidRDefault="00562F56" w:rsidP="00562F56">
            <w:pPr>
              <w:pStyle w:val="TableLeftColumnTables"/>
              <w:spacing w:before="60" w:after="60"/>
              <w:rPr>
                <w:rFonts w:ascii="Arial" w:hAnsi="Arial" w:cs="Arial"/>
                <w:b w:val="0"/>
                <w:szCs w:val="22"/>
              </w:rPr>
            </w:pPr>
            <w:r w:rsidRPr="00976F78">
              <w:rPr>
                <w:rFonts w:ascii="Arial" w:hAnsi="Arial" w:cs="Arial"/>
                <w:b w:val="0"/>
                <w:szCs w:val="22"/>
              </w:rPr>
              <w:t>The method used by any person who has identified an incident</w:t>
            </w:r>
            <w:r>
              <w:rPr>
                <w:rFonts w:ascii="Arial" w:hAnsi="Arial" w:cs="Arial"/>
                <w:b w:val="0"/>
                <w:szCs w:val="22"/>
              </w:rPr>
              <w:t xml:space="preserve"> or adverse event</w:t>
            </w:r>
            <w:r w:rsidRPr="00976F78">
              <w:rPr>
                <w:rFonts w:ascii="Arial" w:hAnsi="Arial" w:cs="Arial"/>
                <w:b w:val="0"/>
                <w:szCs w:val="22"/>
              </w:rPr>
              <w:t xml:space="preserve"> to determine the appropriate action to take on that incident.</w:t>
            </w:r>
          </w:p>
          <w:p w14:paraId="5A8A99A7" w14:textId="20C188F5" w:rsidR="001F5413" w:rsidRPr="00976F78" w:rsidRDefault="00562F56" w:rsidP="00562F56">
            <w:pPr>
              <w:pStyle w:val="TableLeftColumnTables"/>
              <w:spacing w:before="60" w:after="60"/>
              <w:rPr>
                <w:rFonts w:ascii="Arial" w:hAnsi="Arial" w:cs="Arial"/>
                <w:b w:val="0"/>
                <w:szCs w:val="22"/>
              </w:rPr>
            </w:pPr>
            <w:r w:rsidRPr="00976F78">
              <w:rPr>
                <w:rFonts w:ascii="Arial" w:hAnsi="Arial" w:cs="Arial"/>
                <w:b w:val="0"/>
                <w:szCs w:val="22"/>
              </w:rPr>
              <w:t xml:space="preserve">The score is ascertained by rating the consequence of the </w:t>
            </w:r>
            <w:r>
              <w:rPr>
                <w:rFonts w:ascii="Arial" w:hAnsi="Arial" w:cs="Arial"/>
                <w:b w:val="0"/>
                <w:szCs w:val="22"/>
              </w:rPr>
              <w:t>event</w:t>
            </w:r>
            <w:r w:rsidRPr="00976F78">
              <w:rPr>
                <w:rFonts w:ascii="Arial" w:hAnsi="Arial" w:cs="Arial"/>
                <w:b w:val="0"/>
                <w:szCs w:val="22"/>
              </w:rPr>
              <w:t xml:space="preserve"> and its likelihood of occurrence. The SAC allocates a numerical rating to every incident to </w:t>
            </w:r>
            <w:r>
              <w:rPr>
                <w:rFonts w:ascii="Arial" w:hAnsi="Arial" w:cs="Arial"/>
                <w:b w:val="0"/>
                <w:szCs w:val="22"/>
              </w:rPr>
              <w:t>identify the most</w:t>
            </w:r>
            <w:r w:rsidRPr="00976F78">
              <w:rPr>
                <w:rFonts w:ascii="Arial" w:hAnsi="Arial" w:cs="Arial"/>
                <w:b w:val="0"/>
                <w:szCs w:val="22"/>
              </w:rPr>
              <w:t xml:space="preserve"> appropriate</w:t>
            </w:r>
            <w:r>
              <w:rPr>
                <w:rFonts w:ascii="Arial" w:hAnsi="Arial" w:cs="Arial"/>
                <w:b w:val="0"/>
                <w:szCs w:val="22"/>
              </w:rPr>
              <w:t xml:space="preserve"> response and</w:t>
            </w:r>
            <w:r w:rsidRPr="00976F78">
              <w:rPr>
                <w:rFonts w:ascii="Arial" w:hAnsi="Arial" w:cs="Arial"/>
                <w:b w:val="0"/>
                <w:szCs w:val="22"/>
              </w:rPr>
              <w:t xml:space="preserve"> management</w:t>
            </w:r>
            <w:r>
              <w:rPr>
                <w:rFonts w:ascii="Arial" w:hAnsi="Arial" w:cs="Arial"/>
                <w:b w:val="0"/>
                <w:szCs w:val="22"/>
              </w:rPr>
              <w:t xml:space="preserve"> of the event</w:t>
            </w:r>
            <w:r w:rsidRPr="00976F78">
              <w:rPr>
                <w:rFonts w:ascii="Arial" w:hAnsi="Arial" w:cs="Arial"/>
                <w:b w:val="0"/>
                <w:szCs w:val="22"/>
              </w:rPr>
              <w:t>.</w:t>
            </w:r>
          </w:p>
        </w:tc>
      </w:tr>
      <w:tr w:rsidR="00BD21FF" w:rsidRPr="007C63B9" w14:paraId="7E0B6A6E"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535EB2F4" w14:textId="36884389" w:rsidR="00BD21FF" w:rsidRPr="00944C91" w:rsidRDefault="00BD21FF" w:rsidP="00944C91">
            <w:pPr>
              <w:pStyle w:val="TableLeftColumnTables"/>
              <w:spacing w:before="60" w:after="60"/>
              <w:rPr>
                <w:rFonts w:ascii="Arial" w:hAnsi="Arial" w:cs="Arial"/>
                <w:b w:val="0"/>
                <w:szCs w:val="22"/>
              </w:rPr>
            </w:pPr>
            <w:r w:rsidRPr="00944C91">
              <w:rPr>
                <w:rFonts w:ascii="Arial" w:hAnsi="Arial" w:cs="Arial"/>
                <w:b w:val="0"/>
                <w:szCs w:val="22"/>
              </w:rPr>
              <w:t>Safety netting</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30410F5" w14:textId="75C95D39" w:rsidR="00BD21FF" w:rsidRPr="00944C91" w:rsidRDefault="00BD21FF" w:rsidP="00944C91">
            <w:pPr>
              <w:pStyle w:val="TableLeftColumnTables"/>
              <w:spacing w:before="60" w:after="60"/>
              <w:rPr>
                <w:rFonts w:ascii="Arial" w:hAnsi="Arial" w:cs="Arial"/>
                <w:b w:val="0"/>
                <w:szCs w:val="22"/>
              </w:rPr>
            </w:pPr>
            <w:r w:rsidRPr="00944C91">
              <w:rPr>
                <w:rFonts w:ascii="Arial" w:hAnsi="Arial" w:cs="Arial"/>
                <w:b w:val="0"/>
                <w:szCs w:val="22"/>
              </w:rPr>
              <w:t>Safety netting is a management strategy of patients, tests and referrals used in the context of diagnostic uncertainty in healthcare.  It aims to ensure patients are monitored until signs and symptoms are explained or resolved.</w:t>
            </w:r>
          </w:p>
        </w:tc>
      </w:tr>
      <w:tr w:rsidR="00B7298C" w:rsidRPr="007C63B9" w14:paraId="0910E390"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3B7B00FD" w14:textId="07BADD3B" w:rsidR="00B7298C" w:rsidRPr="00944C91" w:rsidRDefault="00B7298C" w:rsidP="00944C91">
            <w:pPr>
              <w:pStyle w:val="TableLeftColumnTables"/>
              <w:spacing w:before="60" w:after="60"/>
              <w:rPr>
                <w:rFonts w:ascii="Arial" w:hAnsi="Arial" w:cs="Arial"/>
                <w:b w:val="0"/>
                <w:szCs w:val="22"/>
              </w:rPr>
            </w:pPr>
            <w:r>
              <w:rPr>
                <w:rFonts w:ascii="Arial" w:hAnsi="Arial" w:cs="Arial"/>
                <w:b w:val="0"/>
                <w:szCs w:val="22"/>
              </w:rPr>
              <w:t>SLM</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8E1CA0A" w14:textId="746765DB" w:rsidR="00B7298C" w:rsidRPr="00B7298C" w:rsidRDefault="00B7298C" w:rsidP="00944C91">
            <w:pPr>
              <w:pStyle w:val="TableLeftColumnTables"/>
              <w:spacing w:before="60" w:after="60"/>
              <w:rPr>
                <w:rFonts w:ascii="Arial" w:hAnsi="Arial" w:cs="Arial"/>
                <w:b w:val="0"/>
                <w:szCs w:val="22"/>
              </w:rPr>
            </w:pPr>
            <w:r w:rsidRPr="000D5EFB">
              <w:rPr>
                <w:rFonts w:ascii="Arial" w:hAnsi="Arial" w:cs="Arial"/>
                <w:b w:val="0"/>
                <w:color w:val="000000" w:themeColor="text1"/>
                <w:szCs w:val="22"/>
                <w:shd w:val="clear" w:color="auto" w:fill="FFFFFF"/>
              </w:rPr>
              <w:t>The System Level Measures (SLMs) Framework aims to improve health outcomes for people by supporting DHBs to work in collaboration with health system partners (primary, community and hospital) using specific quality improvement measures. It provides a foundation for continuous quality improvement and system integration.</w:t>
            </w:r>
          </w:p>
        </w:tc>
      </w:tr>
      <w:tr w:rsidR="00976F78" w:rsidRPr="007C63B9" w14:paraId="0444B65B"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70885642" w14:textId="696CCFBB" w:rsidR="00976F78" w:rsidRPr="00944C91" w:rsidRDefault="00976F78" w:rsidP="00944C91">
            <w:pPr>
              <w:pStyle w:val="TableLeftColumnTables"/>
              <w:spacing w:before="60" w:after="60"/>
              <w:rPr>
                <w:rFonts w:ascii="Arial" w:hAnsi="Arial" w:cs="Arial"/>
                <w:b w:val="0"/>
                <w:szCs w:val="22"/>
              </w:rPr>
            </w:pPr>
            <w:r w:rsidRPr="00944C91">
              <w:rPr>
                <w:rFonts w:ascii="Arial" w:hAnsi="Arial" w:cs="Arial"/>
                <w:b w:val="0"/>
                <w:szCs w:val="22"/>
              </w:rPr>
              <w:t xml:space="preserve">Tangata Whenua </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9621ECF" w14:textId="02BD96C2" w:rsidR="00976F78" w:rsidRPr="00944C91" w:rsidRDefault="00976F78" w:rsidP="00944C91">
            <w:pPr>
              <w:pStyle w:val="TableLeftColumnTables"/>
              <w:spacing w:before="60" w:after="60"/>
              <w:rPr>
                <w:rFonts w:ascii="Arial" w:hAnsi="Arial" w:cs="Arial"/>
                <w:b w:val="0"/>
                <w:szCs w:val="22"/>
              </w:rPr>
            </w:pPr>
            <w:r w:rsidRPr="00944C91">
              <w:rPr>
                <w:rFonts w:ascii="Arial" w:hAnsi="Arial" w:cs="Arial"/>
                <w:b w:val="0"/>
                <w:szCs w:val="22"/>
              </w:rPr>
              <w:t>The</w:t>
            </w:r>
            <w:r w:rsidR="000D5EFB">
              <w:rPr>
                <w:rFonts w:ascii="Arial" w:hAnsi="Arial" w:cs="Arial"/>
                <w:b w:val="0"/>
                <w:szCs w:val="22"/>
              </w:rPr>
              <w:t xml:space="preserve"> </w:t>
            </w:r>
            <w:r w:rsidRPr="00944C91">
              <w:rPr>
                <w:rFonts w:ascii="Arial" w:hAnsi="Arial" w:cs="Arial"/>
                <w:b w:val="0"/>
                <w:szCs w:val="22"/>
              </w:rPr>
              <w:t>indigenous</w:t>
            </w:r>
            <w:r w:rsidR="000D5EFB">
              <w:rPr>
                <w:rFonts w:ascii="Arial" w:hAnsi="Arial" w:cs="Arial"/>
                <w:b w:val="0"/>
                <w:szCs w:val="22"/>
              </w:rPr>
              <w:t xml:space="preserve"> </w:t>
            </w:r>
            <w:r w:rsidRPr="00944C91">
              <w:rPr>
                <w:rFonts w:ascii="Arial" w:hAnsi="Arial" w:cs="Arial"/>
                <w:b w:val="0"/>
                <w:szCs w:val="22"/>
              </w:rPr>
              <w:t>Māori people of a particular are</w:t>
            </w:r>
            <w:r w:rsidR="00BD64CA">
              <w:rPr>
                <w:rFonts w:ascii="Arial" w:hAnsi="Arial" w:cs="Arial"/>
                <w:b w:val="0"/>
                <w:szCs w:val="22"/>
              </w:rPr>
              <w:t>a,</w:t>
            </w:r>
            <w:r w:rsidRPr="00944C91">
              <w:rPr>
                <w:rFonts w:ascii="Arial" w:hAnsi="Arial" w:cs="Arial"/>
                <w:b w:val="0"/>
                <w:szCs w:val="22"/>
              </w:rPr>
              <w:t xml:space="preserve"> of New</w:t>
            </w:r>
            <w:r w:rsidR="000D5EFB">
              <w:rPr>
                <w:rFonts w:ascii="Arial" w:hAnsi="Arial" w:cs="Arial"/>
                <w:b w:val="0"/>
                <w:szCs w:val="22"/>
              </w:rPr>
              <w:t xml:space="preserve"> </w:t>
            </w:r>
            <w:r w:rsidRPr="00944C91">
              <w:rPr>
                <w:rFonts w:ascii="Arial" w:hAnsi="Arial" w:cs="Arial"/>
                <w:b w:val="0"/>
                <w:szCs w:val="22"/>
              </w:rPr>
              <w:t>Zealand</w:t>
            </w:r>
            <w:r w:rsidR="000D5EFB">
              <w:rPr>
                <w:rFonts w:ascii="Arial" w:hAnsi="Arial" w:cs="Arial"/>
                <w:b w:val="0"/>
                <w:szCs w:val="22"/>
              </w:rPr>
              <w:t xml:space="preserve"> </w:t>
            </w:r>
            <w:r w:rsidRPr="00944C91">
              <w:rPr>
                <w:rFonts w:ascii="Arial" w:hAnsi="Arial" w:cs="Arial"/>
                <w:b w:val="0"/>
                <w:szCs w:val="22"/>
              </w:rPr>
              <w:t>or of the country as a</w:t>
            </w:r>
            <w:r w:rsidR="00C87380">
              <w:rPr>
                <w:rFonts w:ascii="Arial" w:hAnsi="Arial" w:cs="Arial"/>
                <w:b w:val="0"/>
                <w:szCs w:val="22"/>
              </w:rPr>
              <w:t xml:space="preserve"> </w:t>
            </w:r>
            <w:r w:rsidRPr="00944C91">
              <w:rPr>
                <w:rFonts w:ascii="Arial" w:hAnsi="Arial" w:cs="Arial"/>
                <w:b w:val="0"/>
                <w:szCs w:val="22"/>
              </w:rPr>
              <w:t>whole.</w:t>
            </w:r>
          </w:p>
        </w:tc>
      </w:tr>
      <w:tr w:rsidR="00D84D19" w:rsidRPr="007C63B9" w14:paraId="49E4461E"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46298AF" w14:textId="5562CC0E" w:rsidR="00D84D19" w:rsidRPr="00944C91" w:rsidRDefault="00D84D19" w:rsidP="00944C91">
            <w:pPr>
              <w:pStyle w:val="TableLeftColumnTables"/>
              <w:spacing w:before="60" w:after="60"/>
              <w:rPr>
                <w:rFonts w:ascii="Arial" w:hAnsi="Arial" w:cs="Arial"/>
                <w:b w:val="0"/>
                <w:szCs w:val="22"/>
              </w:rPr>
            </w:pPr>
            <w:r w:rsidRPr="00D84D19">
              <w:rPr>
                <w:rFonts w:ascii="Arial" w:hAnsi="Arial" w:cs="Arial"/>
                <w:b w:val="0"/>
                <w:szCs w:val="22"/>
              </w:rPr>
              <w:t>Team members</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58852FB" w14:textId="4B37C373" w:rsidR="00D84D19" w:rsidRPr="00944C91" w:rsidRDefault="00D84D19" w:rsidP="00944C91">
            <w:pPr>
              <w:pStyle w:val="TableLeftColumnTables"/>
              <w:spacing w:before="60" w:after="60"/>
              <w:rPr>
                <w:rFonts w:ascii="Arial" w:hAnsi="Arial" w:cs="Arial"/>
                <w:b w:val="0"/>
                <w:szCs w:val="22"/>
              </w:rPr>
            </w:pPr>
            <w:r w:rsidRPr="00944C91">
              <w:rPr>
                <w:rFonts w:ascii="Arial" w:hAnsi="Arial" w:cs="Arial"/>
                <w:b w:val="0"/>
                <w:szCs w:val="22"/>
              </w:rPr>
              <w:t>Refers to both clinical and administrative staff and includes full- and part-time employees, contractors and locums.</w:t>
            </w:r>
          </w:p>
        </w:tc>
      </w:tr>
      <w:tr w:rsidR="001F5413" w:rsidRPr="007C63B9" w14:paraId="70EF5C0E"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621C794E" w14:textId="7631099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The Code</w:t>
            </w:r>
            <w:r w:rsidR="001737B6">
              <w:rPr>
                <w:rFonts w:ascii="Arial" w:hAnsi="Arial" w:cs="Arial"/>
                <w:b w:val="0"/>
                <w:szCs w:val="22"/>
              </w:rPr>
              <w:t xml:space="preserve"> / Code of Rights</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79669F04" w14:textId="77777777" w:rsidR="001F5413" w:rsidRPr="00976F78" w:rsidRDefault="00CF1416" w:rsidP="00944C91">
            <w:pPr>
              <w:pStyle w:val="TableLeftColumnTables"/>
              <w:spacing w:before="60" w:after="60"/>
              <w:rPr>
                <w:rFonts w:ascii="Arial" w:hAnsi="Arial" w:cs="Arial"/>
                <w:b w:val="0"/>
                <w:szCs w:val="22"/>
              </w:rPr>
            </w:pPr>
            <w:hyperlink r:id="rId230" w:history="1">
              <w:r w:rsidR="001F5413" w:rsidRPr="00944C91">
                <w:rPr>
                  <w:rFonts w:ascii="Arial" w:hAnsi="Arial" w:cs="Arial"/>
                  <w:b w:val="0"/>
                  <w:szCs w:val="22"/>
                </w:rPr>
                <w:t>The HDC Code of Health and Disability Services Consumers’ Rights 1996</w:t>
              </w:r>
            </w:hyperlink>
          </w:p>
        </w:tc>
      </w:tr>
      <w:tr w:rsidR="001F5413" w:rsidRPr="007C63B9" w14:paraId="1D9C1306"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29AB6BD0"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Trial evacuation</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3053E59A" w14:textId="28CBBF39"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An evacuation drill that is carried out when there are no signs of fire</w:t>
            </w:r>
            <w:r w:rsidR="001737B6">
              <w:rPr>
                <w:rFonts w:ascii="Arial" w:hAnsi="Arial" w:cs="Arial"/>
                <w:b w:val="0"/>
                <w:szCs w:val="22"/>
              </w:rPr>
              <w:t xml:space="preserve"> (or emergency situation)</w:t>
            </w:r>
            <w:r w:rsidRPr="00976F78">
              <w:rPr>
                <w:rFonts w:ascii="Arial" w:hAnsi="Arial" w:cs="Arial"/>
                <w:b w:val="0"/>
                <w:szCs w:val="22"/>
              </w:rPr>
              <w:t>, for the purpose of evaluating the effectiveness of an evacuation procedure.</w:t>
            </w:r>
          </w:p>
        </w:tc>
      </w:tr>
      <w:tr w:rsidR="001F5413" w:rsidRPr="007C63B9" w14:paraId="6DB02875"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01DACCDB"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Validation</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41F1A0BC"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Documented procedure for obtaining, recording and interpreting the results required to establish that a process will consistently yield a product complying with pre-determined specifications (AS/NZS 4815:2006)</w:t>
            </w:r>
          </w:p>
        </w:tc>
      </w:tr>
      <w:tr w:rsidR="001F5413" w:rsidRPr="007C63B9" w14:paraId="61C068A9" w14:textId="77777777" w:rsidTr="00A52B74">
        <w:trPr>
          <w:trHeight w:val="60"/>
        </w:trPr>
        <w:tc>
          <w:tcPr>
            <w:tcW w:w="3288" w:type="dxa"/>
            <w:tcBorders>
              <w:top w:val="single" w:sz="4" w:space="0" w:color="000000"/>
              <w:left w:val="single" w:sz="6" w:space="0" w:color="000000"/>
              <w:bottom w:val="single" w:sz="4" w:space="0" w:color="000000"/>
              <w:right w:val="single" w:sz="6" w:space="0" w:color="000000"/>
            </w:tcBorders>
            <w:tcMar>
              <w:top w:w="142" w:type="dxa"/>
              <w:left w:w="113" w:type="dxa"/>
              <w:bottom w:w="142" w:type="dxa"/>
              <w:right w:w="113" w:type="dxa"/>
            </w:tcMar>
          </w:tcPr>
          <w:p w14:paraId="50E4579D" w14:textId="77777777"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Warden</w:t>
            </w:r>
          </w:p>
        </w:tc>
        <w:tc>
          <w:tcPr>
            <w:tcW w:w="6340" w:type="dxa"/>
            <w:tcBorders>
              <w:top w:val="single" w:sz="4" w:space="0" w:color="000000"/>
              <w:left w:val="single" w:sz="6" w:space="0" w:color="000000"/>
              <w:bottom w:val="single" w:sz="4" w:space="0" w:color="000000"/>
              <w:right w:val="single" w:sz="6" w:space="0" w:color="000000"/>
            </w:tcBorders>
            <w:tcMar>
              <w:top w:w="142" w:type="dxa"/>
              <w:left w:w="142" w:type="dxa"/>
              <w:bottom w:w="142" w:type="dxa"/>
              <w:right w:w="142" w:type="dxa"/>
            </w:tcMar>
          </w:tcPr>
          <w:p w14:paraId="630213D9" w14:textId="5FC1C980" w:rsidR="001F5413" w:rsidRPr="00976F78" w:rsidRDefault="001F5413" w:rsidP="00944C91">
            <w:pPr>
              <w:pStyle w:val="TableLeftColumnTables"/>
              <w:spacing w:before="60" w:after="60"/>
              <w:rPr>
                <w:rFonts w:ascii="Arial" w:hAnsi="Arial" w:cs="Arial"/>
                <w:b w:val="0"/>
                <w:szCs w:val="22"/>
              </w:rPr>
            </w:pPr>
            <w:r w:rsidRPr="00976F78">
              <w:rPr>
                <w:rFonts w:ascii="Arial" w:hAnsi="Arial" w:cs="Arial"/>
                <w:b w:val="0"/>
                <w:szCs w:val="22"/>
              </w:rPr>
              <w:t>A person who has specific responsibilities during an evacuation of a building during an emergency</w:t>
            </w:r>
            <w:r w:rsidR="001737B6">
              <w:rPr>
                <w:rFonts w:ascii="Arial" w:hAnsi="Arial" w:cs="Arial"/>
                <w:b w:val="0"/>
                <w:szCs w:val="22"/>
              </w:rPr>
              <w:t xml:space="preserve"> or trial evacuation.</w:t>
            </w:r>
          </w:p>
        </w:tc>
      </w:tr>
    </w:tbl>
    <w:p w14:paraId="3F29CAA1" w14:textId="77777777" w:rsidR="00F2122C" w:rsidRDefault="00F2122C" w:rsidP="008B3D35">
      <w:pPr>
        <w:pStyle w:val="HHLMainHeading"/>
        <w:numPr>
          <w:ilvl w:val="0"/>
          <w:numId w:val="0"/>
        </w:numPr>
        <w:ind w:left="360" w:hanging="360"/>
      </w:pPr>
    </w:p>
    <w:p w14:paraId="1D538BA8" w14:textId="77777777" w:rsidR="00F2122C" w:rsidRDefault="00F2122C">
      <w:pPr>
        <w:spacing w:after="0"/>
        <w:rPr>
          <w:b/>
          <w:color w:val="EE7624"/>
          <w:sz w:val="28"/>
        </w:rPr>
      </w:pPr>
      <w:r>
        <w:lastRenderedPageBreak/>
        <w:br w:type="page"/>
      </w:r>
    </w:p>
    <w:p w14:paraId="290DC29D" w14:textId="6097D870" w:rsidR="009F20CD" w:rsidRDefault="009F20CD" w:rsidP="00F2122C">
      <w:pPr>
        <w:pStyle w:val="HHLMainHeading"/>
        <w:numPr>
          <w:ilvl w:val="0"/>
          <w:numId w:val="0"/>
        </w:numPr>
        <w:tabs>
          <w:tab w:val="left" w:pos="1560"/>
        </w:tabs>
        <w:ind w:left="360" w:hanging="360"/>
      </w:pPr>
      <w:bookmarkStart w:id="77" w:name="_Toc6998694"/>
      <w:r>
        <w:lastRenderedPageBreak/>
        <w:t>Appendix 1.</w:t>
      </w:r>
      <w:r w:rsidR="00F2122C">
        <w:t xml:space="preserve"> </w:t>
      </w:r>
      <w:r>
        <w:t xml:space="preserve">Medical equipment </w:t>
      </w:r>
      <w:r w:rsidR="00CD478F">
        <w:t xml:space="preserve">and emergency medicines </w:t>
      </w:r>
      <w:r>
        <w:t>register</w:t>
      </w:r>
      <w:bookmarkEnd w:id="77"/>
    </w:p>
    <w:p w14:paraId="0FEFBD48" w14:textId="174D3179" w:rsidR="009F20CD" w:rsidRDefault="009F20CD" w:rsidP="009F20CD">
      <w:pPr>
        <w:pStyle w:val="BodyText"/>
      </w:pPr>
      <w:r>
        <w:t>All medical equipment</w:t>
      </w:r>
      <w:r w:rsidR="003E59E0">
        <w:t>,</w:t>
      </w:r>
      <w:r>
        <w:t xml:space="preserve"> resources</w:t>
      </w:r>
      <w:r w:rsidR="003E59E0">
        <w:t xml:space="preserve"> and </w:t>
      </w:r>
      <w:r w:rsidR="004E44D3">
        <w:t>medicines</w:t>
      </w:r>
      <w:r>
        <w:t xml:space="preserve"> must be suitable for supporting comprehensive primary care, resuscitation and performance of any additional procedures offered.</w:t>
      </w:r>
    </w:p>
    <w:p w14:paraId="7B3D2821" w14:textId="6AA38FEA" w:rsidR="009F20CD" w:rsidRDefault="009F20CD" w:rsidP="009F20CD">
      <w:pPr>
        <w:pStyle w:val="BodyText"/>
      </w:pPr>
      <w:r>
        <w:t>All essential medical equipment</w:t>
      </w:r>
      <w:r w:rsidR="003E59E0">
        <w:t>,</w:t>
      </w:r>
      <w:r>
        <w:t xml:space="preserve"> resources</w:t>
      </w:r>
      <w:r w:rsidR="003E59E0">
        <w:t xml:space="preserve"> and </w:t>
      </w:r>
      <w:r w:rsidR="004E44D3">
        <w:t>medicines</w:t>
      </w:r>
      <w:r>
        <w:t xml:space="preserve"> must be available when needed, and members of your practice team must know how to use the equipment.</w:t>
      </w:r>
    </w:p>
    <w:p w14:paraId="743963EF" w14:textId="5760021A" w:rsidR="009F20CD" w:rsidRDefault="009F20CD" w:rsidP="009F20CD">
      <w:pPr>
        <w:pStyle w:val="BodyText"/>
      </w:pPr>
      <w:r>
        <w:t xml:space="preserve">Equipment must be calibrated, in working order and </w:t>
      </w:r>
      <w:r w:rsidR="00A838E1">
        <w:t xml:space="preserve">servicing expiry dates must be </w:t>
      </w:r>
      <w:r>
        <w:t xml:space="preserve">current. </w:t>
      </w:r>
    </w:p>
    <w:p w14:paraId="7633DAF8" w14:textId="0038AC5E" w:rsidR="009F20CD" w:rsidRPr="00EB2149" w:rsidRDefault="009F20CD" w:rsidP="000C4941">
      <w:pPr>
        <w:pStyle w:val="BodyText"/>
        <w:rPr>
          <w:szCs w:val="22"/>
        </w:rPr>
      </w:pPr>
      <w:r>
        <w:t>The adequacy and appropriateness of basic equipment is determined by the circumstances of the practice and any omissions must be able to be justified by the practice.</w:t>
      </w:r>
      <w:r w:rsidR="000C4941" w:rsidRPr="00EB2149">
        <w:rPr>
          <w:szCs w:val="22"/>
        </w:rPr>
        <w:t xml:space="preserve"> </w:t>
      </w:r>
    </w:p>
    <w:p w14:paraId="12CCA0A7" w14:textId="616D38B0" w:rsidR="00EB2149" w:rsidRDefault="000C4941" w:rsidP="000C4941">
      <w:pPr>
        <w:pStyle w:val="HHLBodyText"/>
        <w:spacing w:before="240"/>
        <w:rPr>
          <w:i/>
        </w:rPr>
      </w:pPr>
      <w:r w:rsidRPr="000C4941">
        <w:rPr>
          <w:i/>
        </w:rPr>
        <w:t>Equipment to be present in each clinic room used by a GP</w:t>
      </w:r>
      <w:r>
        <w:rPr>
          <w:i/>
        </w:rPr>
        <w:t>, Nurse Practitioner or Nurse</w:t>
      </w:r>
    </w:p>
    <w:p w14:paraId="33BCF3AF" w14:textId="77777777" w:rsidR="00D96ADB" w:rsidRPr="00D96ADB" w:rsidRDefault="00D96ADB"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D96ADB">
        <w:rPr>
          <w:color w:val="000000" w:themeColor="text1"/>
          <w:sz w:val="22"/>
          <w:szCs w:val="22"/>
          <w:lang w:val="en-GB"/>
        </w:rPr>
        <w:t>Aur</w:t>
      </w:r>
      <w:r w:rsidRPr="00D96ADB">
        <w:rPr>
          <w:color w:val="000000" w:themeColor="text1"/>
          <w:sz w:val="22"/>
          <w:szCs w:val="22"/>
          <w:lang w:val="en-NZ"/>
        </w:rPr>
        <w:t>o</w:t>
      </w:r>
      <w:r w:rsidRPr="00D96ADB">
        <w:rPr>
          <w:color w:val="000000" w:themeColor="text1"/>
          <w:sz w:val="22"/>
          <w:szCs w:val="22"/>
          <w:lang w:val="en-GB"/>
        </w:rPr>
        <w:t>scope</w:t>
      </w:r>
    </w:p>
    <w:p w14:paraId="72DD3D6A" w14:textId="1762F4AB" w:rsidR="00D96ADB" w:rsidRPr="00D96ADB" w:rsidRDefault="009C656B"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O</w:t>
      </w:r>
      <w:r w:rsidR="00D96ADB" w:rsidRPr="00D96ADB">
        <w:rPr>
          <w:color w:val="000000" w:themeColor="text1"/>
          <w:sz w:val="22"/>
          <w:szCs w:val="22"/>
          <w:lang w:val="en-GB"/>
        </w:rPr>
        <w:t>phthalmoscope</w:t>
      </w:r>
    </w:p>
    <w:p w14:paraId="2C89F83B" w14:textId="1ED3CCFB"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M</w:t>
      </w:r>
      <w:r w:rsidR="00D96ADB" w:rsidRPr="00D96ADB">
        <w:rPr>
          <w:color w:val="000000" w:themeColor="text1"/>
          <w:sz w:val="22"/>
          <w:szCs w:val="22"/>
          <w:lang w:val="en-GB"/>
        </w:rPr>
        <w:t>onofilament</w:t>
      </w:r>
    </w:p>
    <w:p w14:paraId="4404B87D" w14:textId="77777777" w:rsidR="00D96ADB" w:rsidRPr="00D96ADB" w:rsidRDefault="00D96ADB"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D96ADB">
        <w:rPr>
          <w:color w:val="000000" w:themeColor="text1"/>
          <w:sz w:val="22"/>
          <w:szCs w:val="22"/>
          <w:lang w:val="en-GB"/>
        </w:rPr>
        <w:t xml:space="preserve">Gloves for examination </w:t>
      </w:r>
    </w:p>
    <w:p w14:paraId="04267113" w14:textId="3C39C9CA"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R</w:t>
      </w:r>
      <w:r w:rsidR="00D96ADB" w:rsidRPr="00D96ADB">
        <w:rPr>
          <w:color w:val="000000" w:themeColor="text1"/>
          <w:sz w:val="22"/>
          <w:szCs w:val="22"/>
          <w:lang w:val="en-GB"/>
        </w:rPr>
        <w:t>eflex hammer</w:t>
      </w:r>
    </w:p>
    <w:p w14:paraId="51CC9B53" w14:textId="481DC766"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D96ADB" w:rsidRPr="00D96ADB">
        <w:rPr>
          <w:color w:val="000000" w:themeColor="text1"/>
          <w:sz w:val="22"/>
          <w:szCs w:val="22"/>
          <w:lang w:val="en-GB"/>
        </w:rPr>
        <w:t>patula</w:t>
      </w:r>
    </w:p>
    <w:p w14:paraId="316FAC8D" w14:textId="7070CD59"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D96ADB" w:rsidRPr="00D96ADB">
        <w:rPr>
          <w:color w:val="000000" w:themeColor="text1"/>
          <w:sz w:val="22"/>
          <w:szCs w:val="22"/>
          <w:lang w:val="en-GB"/>
        </w:rPr>
        <w:t>phygmomanometer</w:t>
      </w:r>
      <w:r w:rsidR="00C87380">
        <w:rPr>
          <w:color w:val="000000" w:themeColor="text1"/>
          <w:sz w:val="22"/>
          <w:szCs w:val="22"/>
          <w:lang w:val="en-GB"/>
        </w:rPr>
        <w:t xml:space="preserve"> (manual or electronic)</w:t>
      </w:r>
      <w:r w:rsidR="00D96ADB" w:rsidRPr="00D96ADB">
        <w:rPr>
          <w:color w:val="000000" w:themeColor="text1"/>
          <w:sz w:val="22"/>
          <w:szCs w:val="22"/>
          <w:lang w:val="en-GB"/>
        </w:rPr>
        <w:t xml:space="preserve"> – extra wide and paediatric cuffs </w:t>
      </w:r>
    </w:p>
    <w:p w14:paraId="243B5831" w14:textId="4BCDD46D"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D96ADB" w:rsidRPr="00D96ADB">
        <w:rPr>
          <w:color w:val="000000" w:themeColor="text1"/>
          <w:sz w:val="22"/>
          <w:szCs w:val="22"/>
          <w:lang w:val="en-GB"/>
        </w:rPr>
        <w:t>tethoscope</w:t>
      </w:r>
    </w:p>
    <w:p w14:paraId="13B327C5" w14:textId="72A580C4"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T</w:t>
      </w:r>
      <w:r w:rsidR="00D96ADB" w:rsidRPr="00D96ADB">
        <w:rPr>
          <w:color w:val="000000" w:themeColor="text1"/>
          <w:sz w:val="22"/>
          <w:szCs w:val="22"/>
          <w:lang w:val="en-GB"/>
        </w:rPr>
        <w:t xml:space="preserve">hermometer </w:t>
      </w:r>
    </w:p>
    <w:p w14:paraId="5B096D7B" w14:textId="7693AFF5" w:rsidR="00D96ADB" w:rsidRPr="00D96ADB" w:rsidRDefault="00C015E8"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T</w:t>
      </w:r>
      <w:r w:rsidR="00D96ADB" w:rsidRPr="00D96ADB">
        <w:rPr>
          <w:color w:val="000000" w:themeColor="text1"/>
          <w:sz w:val="22"/>
          <w:szCs w:val="22"/>
          <w:lang w:val="en-GB"/>
        </w:rPr>
        <w:t xml:space="preserve">uning fork </w:t>
      </w:r>
    </w:p>
    <w:p w14:paraId="13B9FB60" w14:textId="77777777" w:rsidR="00D96ADB" w:rsidRPr="00D96ADB" w:rsidRDefault="00D96ADB"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D96ADB">
        <w:rPr>
          <w:color w:val="000000" w:themeColor="text1"/>
          <w:sz w:val="22"/>
          <w:szCs w:val="22"/>
          <w:lang w:val="en-GB"/>
        </w:rPr>
        <w:t>Tape measure</w:t>
      </w:r>
    </w:p>
    <w:p w14:paraId="36249034" w14:textId="3413D988" w:rsidR="00D96ADB" w:rsidRDefault="007C1BBD" w:rsidP="000C4941">
      <w:pPr>
        <w:pStyle w:val="HHLBodyText"/>
        <w:spacing w:before="240"/>
        <w:rPr>
          <w:i/>
        </w:rPr>
      </w:pPr>
      <w:r w:rsidRPr="007C1BBD">
        <w:rPr>
          <w:i/>
        </w:rPr>
        <w:t>Equipment to be easily available to all clinicians in the practice</w:t>
      </w:r>
    </w:p>
    <w:p w14:paraId="69483EAE" w14:textId="2DC40EE6" w:rsidR="007C1BBD" w:rsidRPr="007C1BBD" w:rsidRDefault="00B91411"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B</w:t>
      </w:r>
      <w:r w:rsidR="007C1BBD" w:rsidRPr="007C1BBD">
        <w:rPr>
          <w:color w:val="000000" w:themeColor="text1"/>
          <w:sz w:val="22"/>
          <w:szCs w:val="22"/>
          <w:lang w:val="en-GB"/>
        </w:rPr>
        <w:t xml:space="preserve">lood glucose test strips and glucometer </w:t>
      </w:r>
    </w:p>
    <w:p w14:paraId="139975C0" w14:textId="557C5F9A"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U</w:t>
      </w:r>
      <w:r w:rsidR="007C1BBD" w:rsidRPr="007C1BBD">
        <w:rPr>
          <w:color w:val="000000" w:themeColor="text1"/>
          <w:sz w:val="22"/>
          <w:szCs w:val="22"/>
          <w:lang w:val="en-GB"/>
        </w:rPr>
        <w:t>rine dipstick – protein, glucose, ketones, blood</w:t>
      </w:r>
    </w:p>
    <w:p w14:paraId="014706BE" w14:textId="41477875"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B</w:t>
      </w:r>
      <w:r w:rsidR="007C1BBD" w:rsidRPr="007C1BBD">
        <w:rPr>
          <w:color w:val="000000" w:themeColor="text1"/>
          <w:sz w:val="22"/>
          <w:szCs w:val="22"/>
          <w:lang w:val="en-GB"/>
        </w:rPr>
        <w:t>lood taking equipment</w:t>
      </w:r>
    </w:p>
    <w:p w14:paraId="1CDA5F26" w14:textId="0BF94ACA"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P</w:t>
      </w:r>
      <w:r w:rsidR="007C1BBD" w:rsidRPr="007C1BBD">
        <w:rPr>
          <w:color w:val="000000" w:themeColor="text1"/>
          <w:sz w:val="22"/>
          <w:szCs w:val="22"/>
          <w:lang w:val="en-GB"/>
        </w:rPr>
        <w:t>regnancy testing kit</w:t>
      </w:r>
    </w:p>
    <w:p w14:paraId="0080EA29" w14:textId="7E2DE63E"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C</w:t>
      </w:r>
      <w:r w:rsidR="007C1BBD" w:rsidRPr="007C1BBD">
        <w:rPr>
          <w:color w:val="000000" w:themeColor="text1"/>
          <w:sz w:val="22"/>
          <w:szCs w:val="22"/>
          <w:lang w:val="en-GB"/>
        </w:rPr>
        <w:t>ervical smear equipment</w:t>
      </w:r>
    </w:p>
    <w:p w14:paraId="6CA3CC18" w14:textId="6D55EB7B"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P</w:t>
      </w:r>
      <w:r w:rsidR="007C1BBD" w:rsidRPr="007C1BBD">
        <w:rPr>
          <w:color w:val="000000" w:themeColor="text1"/>
          <w:sz w:val="22"/>
          <w:szCs w:val="22"/>
          <w:lang w:val="en-GB"/>
        </w:rPr>
        <w:t>roctoscope</w:t>
      </w:r>
    </w:p>
    <w:p w14:paraId="62D9A8D2" w14:textId="1B58BE9B"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D</w:t>
      </w:r>
      <w:r w:rsidR="007C1BBD" w:rsidRPr="007C1BBD">
        <w:rPr>
          <w:color w:val="000000" w:themeColor="text1"/>
          <w:sz w:val="22"/>
          <w:szCs w:val="22"/>
          <w:lang w:val="en-GB"/>
        </w:rPr>
        <w:t>ressings adequate to the services provided</w:t>
      </w:r>
    </w:p>
    <w:p w14:paraId="532E63DE" w14:textId="4D96F8CB"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E</w:t>
      </w:r>
      <w:r w:rsidR="007C1BBD" w:rsidRPr="007C1BBD">
        <w:rPr>
          <w:color w:val="000000" w:themeColor="text1"/>
          <w:sz w:val="22"/>
          <w:szCs w:val="22"/>
          <w:lang w:val="en-GB"/>
        </w:rPr>
        <w:t>ye local anaesthetic</w:t>
      </w:r>
    </w:p>
    <w:p w14:paraId="35BA24D9" w14:textId="6E3C5BE5"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F</w:t>
      </w:r>
      <w:r w:rsidR="007C1BBD" w:rsidRPr="007C1BBD">
        <w:rPr>
          <w:color w:val="000000" w:themeColor="text1"/>
          <w:sz w:val="22"/>
          <w:szCs w:val="22"/>
          <w:lang w:val="en-GB"/>
        </w:rPr>
        <w:t>luorescein dye for eyes</w:t>
      </w:r>
    </w:p>
    <w:p w14:paraId="41247392" w14:textId="07E45907"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H</w:t>
      </w:r>
      <w:r w:rsidR="007C1BBD" w:rsidRPr="007C1BBD">
        <w:rPr>
          <w:color w:val="000000" w:themeColor="text1"/>
          <w:sz w:val="22"/>
          <w:szCs w:val="22"/>
          <w:lang w:val="en-GB"/>
        </w:rPr>
        <w:t>eight measure</w:t>
      </w:r>
    </w:p>
    <w:p w14:paraId="2E72809B" w14:textId="025C5B1A"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W</w:t>
      </w:r>
      <w:r w:rsidR="007C1BBD" w:rsidRPr="007C1BBD">
        <w:rPr>
          <w:color w:val="000000" w:themeColor="text1"/>
          <w:sz w:val="22"/>
          <w:szCs w:val="22"/>
          <w:lang w:val="en-GB"/>
        </w:rPr>
        <w:t>eight scales – adult, baby</w:t>
      </w:r>
    </w:p>
    <w:p w14:paraId="79BC889B" w14:textId="703CF6BB"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P</w:t>
      </w:r>
      <w:r w:rsidR="007C1BBD" w:rsidRPr="007C1BBD">
        <w:rPr>
          <w:color w:val="000000" w:themeColor="text1"/>
          <w:sz w:val="22"/>
          <w:szCs w:val="22"/>
          <w:lang w:val="en-GB"/>
        </w:rPr>
        <w:t>eak flow meter</w:t>
      </w:r>
    </w:p>
    <w:p w14:paraId="50D19B64" w14:textId="5E30D888" w:rsidR="007C1BBD" w:rsidRPr="00C87380"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7C1BBD" w:rsidRPr="007C1BBD">
        <w:rPr>
          <w:color w:val="000000" w:themeColor="text1"/>
          <w:sz w:val="22"/>
          <w:szCs w:val="22"/>
          <w:lang w:val="en-GB"/>
        </w:rPr>
        <w:t xml:space="preserve">pirometer, </w:t>
      </w:r>
      <w:r w:rsidR="007C1BBD" w:rsidRPr="00C87380">
        <w:rPr>
          <w:color w:val="000000" w:themeColor="text1"/>
          <w:sz w:val="22"/>
          <w:szCs w:val="22"/>
          <w:lang w:val="en-GB"/>
        </w:rPr>
        <w:t>hand held or otherwise</w:t>
      </w:r>
    </w:p>
    <w:p w14:paraId="1443398D" w14:textId="1B09D1E1"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7C1BBD" w:rsidRPr="007C1BBD">
        <w:rPr>
          <w:color w:val="000000" w:themeColor="text1"/>
          <w:sz w:val="22"/>
          <w:szCs w:val="22"/>
          <w:lang w:val="en-GB"/>
        </w:rPr>
        <w:t>pacer device</w:t>
      </w:r>
    </w:p>
    <w:p w14:paraId="7203911D" w14:textId="55BFA573"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7C1BBD" w:rsidRPr="007C1BBD">
        <w:rPr>
          <w:color w:val="000000" w:themeColor="text1"/>
          <w:sz w:val="22"/>
          <w:szCs w:val="22"/>
          <w:lang w:val="en-GB"/>
        </w:rPr>
        <w:t>urgical instruments appropriate for any procedures carried out in the practice</w:t>
      </w:r>
    </w:p>
    <w:p w14:paraId="0DE2FCE6" w14:textId="5DFE8563"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7C1BBD" w:rsidRPr="007C1BBD">
        <w:rPr>
          <w:color w:val="000000" w:themeColor="text1"/>
          <w:sz w:val="22"/>
          <w:szCs w:val="22"/>
          <w:lang w:val="en-GB"/>
        </w:rPr>
        <w:t>terile gloves for procedures</w:t>
      </w:r>
    </w:p>
    <w:p w14:paraId="580CC4AB" w14:textId="689E2935"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7C1BBD" w:rsidRPr="007C1BBD">
        <w:rPr>
          <w:color w:val="000000" w:themeColor="text1"/>
          <w:sz w:val="22"/>
          <w:szCs w:val="22"/>
          <w:lang w:val="en-GB"/>
        </w:rPr>
        <w:t>uture equipment</w:t>
      </w:r>
    </w:p>
    <w:p w14:paraId="7CE1A80A" w14:textId="426B0A22"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7C1BBD" w:rsidRPr="007C1BBD">
        <w:rPr>
          <w:color w:val="000000" w:themeColor="text1"/>
          <w:sz w:val="22"/>
          <w:szCs w:val="22"/>
          <w:lang w:val="en-GB"/>
        </w:rPr>
        <w:t>yringes and needles</w:t>
      </w:r>
    </w:p>
    <w:p w14:paraId="77F87241" w14:textId="42F416C5" w:rsidR="007C1BBD" w:rsidRPr="007C1BBD" w:rsidRDefault="00CF5777"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V</w:t>
      </w:r>
      <w:r w:rsidR="007C1BBD" w:rsidRPr="007C1BBD">
        <w:rPr>
          <w:color w:val="000000" w:themeColor="text1"/>
          <w:sz w:val="22"/>
          <w:szCs w:val="22"/>
          <w:lang w:val="en-GB"/>
        </w:rPr>
        <w:t>isual acuity chart – at the specified distance with viewing distance marked.</w:t>
      </w:r>
    </w:p>
    <w:p w14:paraId="788D0BAC" w14:textId="195ED31D" w:rsidR="007C1BBD" w:rsidRDefault="007C1BBD"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7C1BBD">
        <w:rPr>
          <w:color w:val="000000" w:themeColor="text1"/>
          <w:sz w:val="22"/>
          <w:szCs w:val="22"/>
          <w:lang w:val="en-GB"/>
        </w:rPr>
        <w:lastRenderedPageBreak/>
        <w:t>Colour visual chart (Ishihara) hard copy or if on line, it is presented in a position for a patient to easily view.</w:t>
      </w:r>
    </w:p>
    <w:p w14:paraId="529787E2" w14:textId="4C8DD1E1" w:rsidR="0010337F" w:rsidRPr="005E4026" w:rsidRDefault="0010337F" w:rsidP="00F2122C">
      <w:pPr>
        <w:pStyle w:val="ListParagraph"/>
        <w:numPr>
          <w:ilvl w:val="0"/>
          <w:numId w:val="23"/>
        </w:numPr>
        <w:spacing w:before="60" w:line="259" w:lineRule="auto"/>
        <w:ind w:left="567" w:hanging="567"/>
        <w:contextualSpacing w:val="0"/>
        <w:rPr>
          <w:color w:val="auto"/>
          <w:sz w:val="22"/>
          <w:szCs w:val="22"/>
          <w:lang w:val="en-GB"/>
        </w:rPr>
      </w:pPr>
      <w:r w:rsidRPr="0010337F">
        <w:rPr>
          <w:color w:val="000000" w:themeColor="text1"/>
          <w:sz w:val="22"/>
          <w:szCs w:val="22"/>
          <w:lang w:val="en-GB"/>
        </w:rPr>
        <w:t>Digital camera</w:t>
      </w:r>
      <w:r w:rsidR="005E4026">
        <w:rPr>
          <w:color w:val="000000" w:themeColor="text1"/>
          <w:sz w:val="22"/>
          <w:szCs w:val="22"/>
          <w:lang w:val="en-GB"/>
        </w:rPr>
        <w:t xml:space="preserve"> </w:t>
      </w:r>
      <w:r w:rsidR="005E4026" w:rsidRPr="005E4026">
        <w:rPr>
          <w:color w:val="auto"/>
          <w:sz w:val="22"/>
          <w:szCs w:val="22"/>
        </w:rPr>
        <w:t>with capability to upload photos into the PMS and attach to referrals to other services e.g. dermatology</w:t>
      </w:r>
      <w:r w:rsidR="009B588C">
        <w:rPr>
          <w:color w:val="auto"/>
          <w:sz w:val="22"/>
          <w:szCs w:val="22"/>
        </w:rPr>
        <w:t>.</w:t>
      </w:r>
    </w:p>
    <w:p w14:paraId="65D5B542" w14:textId="1F6C6CD1" w:rsidR="0010337F" w:rsidRDefault="0010337F"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7A0E28">
        <w:rPr>
          <w:color w:val="000000" w:themeColor="text1"/>
          <w:sz w:val="22"/>
          <w:szCs w:val="22"/>
          <w:lang w:val="en-GB"/>
        </w:rPr>
        <w:t>Dermoscope</w:t>
      </w:r>
    </w:p>
    <w:p w14:paraId="1D97478C" w14:textId="5F90AB3D" w:rsidR="00D925D6" w:rsidRDefault="00D925D6"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AED</w:t>
      </w:r>
    </w:p>
    <w:p w14:paraId="2EDE5A63" w14:textId="39FEF739" w:rsidR="00145F34" w:rsidRPr="00145F34" w:rsidRDefault="00145F34" w:rsidP="00145F34">
      <w:pPr>
        <w:pStyle w:val="HHLBodyText"/>
        <w:spacing w:before="240"/>
        <w:rPr>
          <w:i/>
        </w:rPr>
      </w:pPr>
      <w:r w:rsidRPr="00145F34">
        <w:rPr>
          <w:i/>
        </w:rPr>
        <w:t>To be available either in the practice or close by</w:t>
      </w:r>
      <w:r w:rsidR="00BD64CA">
        <w:rPr>
          <w:i/>
        </w:rPr>
        <w:t>:</w:t>
      </w:r>
    </w:p>
    <w:p w14:paraId="684DFE03" w14:textId="345D2304" w:rsidR="00820109" w:rsidRPr="00820109" w:rsidRDefault="00820109"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820109">
        <w:rPr>
          <w:color w:val="000000" w:themeColor="text1"/>
          <w:sz w:val="22"/>
          <w:szCs w:val="22"/>
          <w:lang w:val="en-GB"/>
        </w:rPr>
        <w:t xml:space="preserve">12 lead </w:t>
      </w:r>
      <w:r w:rsidR="00BD64CA">
        <w:rPr>
          <w:color w:val="000000" w:themeColor="text1"/>
          <w:sz w:val="22"/>
          <w:szCs w:val="22"/>
          <w:lang w:val="en-GB"/>
        </w:rPr>
        <w:t>E</w:t>
      </w:r>
      <w:r w:rsidRPr="00820109">
        <w:rPr>
          <w:color w:val="000000" w:themeColor="text1"/>
          <w:sz w:val="22"/>
          <w:szCs w:val="22"/>
          <w:lang w:val="en-GB"/>
        </w:rPr>
        <w:t>lectrocardiogram</w:t>
      </w:r>
      <w:r w:rsidR="00535935">
        <w:rPr>
          <w:color w:val="000000" w:themeColor="text1"/>
          <w:sz w:val="22"/>
          <w:szCs w:val="22"/>
          <w:lang w:val="en-GB"/>
        </w:rPr>
        <w:t>.</w:t>
      </w:r>
      <w:r w:rsidRPr="00820109">
        <w:rPr>
          <w:color w:val="000000" w:themeColor="text1"/>
          <w:sz w:val="22"/>
          <w:szCs w:val="22"/>
          <w:lang w:val="en-GB"/>
        </w:rPr>
        <w:t xml:space="preserve"> </w:t>
      </w:r>
      <w:r w:rsidR="00BD64CA">
        <w:rPr>
          <w:color w:val="000000" w:themeColor="text1"/>
          <w:sz w:val="22"/>
          <w:szCs w:val="22"/>
          <w:lang w:val="en-GB"/>
        </w:rPr>
        <w:t xml:space="preserve"> </w:t>
      </w:r>
      <w:r w:rsidRPr="00820109">
        <w:rPr>
          <w:color w:val="000000" w:themeColor="text1"/>
          <w:sz w:val="22"/>
          <w:szCs w:val="22"/>
          <w:lang w:val="en-GB"/>
        </w:rPr>
        <w:t>If ECG is outside the practice, then it must be within 10 minutes patient access by vehicle at a facility capable of handling the clinical findings of an abnormal ECG</w:t>
      </w:r>
      <w:r w:rsidR="00535935">
        <w:rPr>
          <w:color w:val="000000" w:themeColor="text1"/>
          <w:sz w:val="22"/>
          <w:szCs w:val="22"/>
          <w:lang w:val="en-GB"/>
        </w:rPr>
        <w:t>.</w:t>
      </w:r>
    </w:p>
    <w:p w14:paraId="6808A63D" w14:textId="57857F2B" w:rsidR="00145F34" w:rsidRDefault="00820109"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820109">
        <w:rPr>
          <w:color w:val="000000" w:themeColor="text1"/>
          <w:sz w:val="22"/>
          <w:szCs w:val="22"/>
          <w:lang w:val="en-GB"/>
        </w:rPr>
        <w:t xml:space="preserve">Urinary catheters and local anaesthetic gel or other means for urgent catheterisation (e.g. urgent referral in urban area within 30 </w:t>
      </w:r>
      <w:r w:rsidR="00856407" w:rsidRPr="00820109">
        <w:rPr>
          <w:color w:val="000000" w:themeColor="text1"/>
          <w:sz w:val="22"/>
          <w:szCs w:val="22"/>
          <w:lang w:val="en-GB"/>
        </w:rPr>
        <w:t>minutes’ drive</w:t>
      </w:r>
      <w:r w:rsidRPr="00820109">
        <w:rPr>
          <w:color w:val="000000" w:themeColor="text1"/>
          <w:sz w:val="22"/>
          <w:szCs w:val="22"/>
          <w:lang w:val="en-GB"/>
        </w:rPr>
        <w:t>)</w:t>
      </w:r>
      <w:r w:rsidR="005E4026">
        <w:rPr>
          <w:color w:val="000000" w:themeColor="text1"/>
          <w:sz w:val="22"/>
          <w:szCs w:val="22"/>
          <w:lang w:val="en-GB"/>
        </w:rPr>
        <w:t>.</w:t>
      </w:r>
    </w:p>
    <w:p w14:paraId="442868B2" w14:textId="55D95669" w:rsidR="00E66272" w:rsidRDefault="00856407" w:rsidP="002E5EC2">
      <w:pPr>
        <w:pStyle w:val="HHLBodyText"/>
        <w:spacing w:before="240"/>
        <w:rPr>
          <w:i/>
        </w:rPr>
      </w:pPr>
      <w:r>
        <w:rPr>
          <w:i/>
        </w:rPr>
        <w:t>Emergency</w:t>
      </w:r>
      <w:r w:rsidR="00E66272">
        <w:rPr>
          <w:i/>
        </w:rPr>
        <w:t xml:space="preserve"> medicines to be available in stock, or in the bag/clinical bag or portable emergency kit.</w:t>
      </w:r>
    </w:p>
    <w:p w14:paraId="64826CB1" w14:textId="77B97775"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drenalin 1/1000</w:t>
      </w:r>
      <w:r w:rsidR="004959F2">
        <w:rPr>
          <w:color w:val="000000" w:themeColor="text1"/>
          <w:sz w:val="22"/>
          <w:szCs w:val="22"/>
          <w:lang w:val="en-GB"/>
        </w:rPr>
        <w:t xml:space="preserve"> injection </w:t>
      </w:r>
    </w:p>
    <w:p w14:paraId="7A90A727" w14:textId="2128B1BA"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 xml:space="preserve">nalgesia </w:t>
      </w:r>
    </w:p>
    <w:p w14:paraId="1A696FBE" w14:textId="3136E78A"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n alternative for those allergic to penicillin</w:t>
      </w:r>
    </w:p>
    <w:p w14:paraId="59F08724" w14:textId="225D711A"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ntiemetic</w:t>
      </w:r>
      <w:r w:rsidR="004959F2">
        <w:rPr>
          <w:color w:val="000000" w:themeColor="text1"/>
          <w:sz w:val="22"/>
          <w:szCs w:val="22"/>
          <w:lang w:val="en-GB"/>
        </w:rPr>
        <w:t xml:space="preserve"> oral /injection </w:t>
      </w:r>
    </w:p>
    <w:p w14:paraId="7B7D55FA" w14:textId="75C8AF5C"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ntihistamine injection</w:t>
      </w:r>
    </w:p>
    <w:p w14:paraId="12585939" w14:textId="2EFC501D"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spirin tablets</w:t>
      </w:r>
    </w:p>
    <w:p w14:paraId="6263ADDB" w14:textId="209A2D66"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A</w:t>
      </w:r>
      <w:r w:rsidR="002C7BB5" w:rsidRPr="002C7BB5">
        <w:rPr>
          <w:color w:val="000000" w:themeColor="text1"/>
          <w:sz w:val="22"/>
          <w:szCs w:val="22"/>
          <w:lang w:val="en-GB"/>
        </w:rPr>
        <w:t>tropine injection</w:t>
      </w:r>
    </w:p>
    <w:p w14:paraId="251195B5" w14:textId="2250BA14"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C</w:t>
      </w:r>
      <w:r w:rsidR="002C7BB5" w:rsidRPr="002C7BB5">
        <w:rPr>
          <w:color w:val="000000" w:themeColor="text1"/>
          <w:sz w:val="22"/>
          <w:szCs w:val="22"/>
          <w:lang w:val="en-GB"/>
        </w:rPr>
        <w:t>orticosteroid injection</w:t>
      </w:r>
    </w:p>
    <w:p w14:paraId="2EA910DB" w14:textId="0DFF5860"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D</w:t>
      </w:r>
      <w:r w:rsidR="002C7BB5" w:rsidRPr="002C7BB5">
        <w:rPr>
          <w:color w:val="000000" w:themeColor="text1"/>
          <w:sz w:val="22"/>
          <w:szCs w:val="22"/>
          <w:lang w:val="en-GB"/>
        </w:rPr>
        <w:t>iazepam injection/rectal</w:t>
      </w:r>
    </w:p>
    <w:p w14:paraId="26F85BB4" w14:textId="17EE1CD1"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F</w:t>
      </w:r>
      <w:r w:rsidR="002C7BB5" w:rsidRPr="002C7BB5">
        <w:rPr>
          <w:color w:val="000000" w:themeColor="text1"/>
          <w:sz w:val="22"/>
          <w:szCs w:val="22"/>
          <w:lang w:val="en-GB"/>
        </w:rPr>
        <w:t>rusemide</w:t>
      </w:r>
      <w:r w:rsidR="004959F2">
        <w:rPr>
          <w:color w:val="000000" w:themeColor="text1"/>
          <w:sz w:val="22"/>
          <w:szCs w:val="22"/>
          <w:lang w:val="en-GB"/>
        </w:rPr>
        <w:t xml:space="preserve"> oral / injection </w:t>
      </w:r>
    </w:p>
    <w:p w14:paraId="20E2E06F" w14:textId="24D42B69" w:rsidR="002C7BB5" w:rsidRPr="002C7BB5" w:rsidRDefault="002C7BB5" w:rsidP="00F2122C">
      <w:pPr>
        <w:pStyle w:val="ListParagraph"/>
        <w:numPr>
          <w:ilvl w:val="0"/>
          <w:numId w:val="23"/>
        </w:numPr>
        <w:spacing w:before="60" w:line="259" w:lineRule="auto"/>
        <w:ind w:left="567" w:hanging="567"/>
        <w:contextualSpacing w:val="0"/>
        <w:rPr>
          <w:color w:val="000000" w:themeColor="text1"/>
          <w:sz w:val="22"/>
          <w:szCs w:val="22"/>
          <w:lang w:val="en-GB"/>
        </w:rPr>
      </w:pPr>
      <w:r w:rsidRPr="002C7BB5">
        <w:rPr>
          <w:color w:val="000000" w:themeColor="text1"/>
          <w:sz w:val="22"/>
          <w:szCs w:val="22"/>
          <w:lang w:val="en-GB"/>
        </w:rPr>
        <w:t>50% glucose/glucagon injection</w:t>
      </w:r>
    </w:p>
    <w:p w14:paraId="3AC8C636" w14:textId="7A92186F"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L</w:t>
      </w:r>
      <w:r w:rsidR="002C7BB5" w:rsidRPr="002C7BB5">
        <w:rPr>
          <w:color w:val="000000" w:themeColor="text1"/>
          <w:sz w:val="22"/>
          <w:szCs w:val="22"/>
          <w:lang w:val="en-GB"/>
        </w:rPr>
        <w:t>ocal anaesthetic injection</w:t>
      </w:r>
    </w:p>
    <w:p w14:paraId="4368CED2" w14:textId="51C04A7E"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N</w:t>
      </w:r>
      <w:r w:rsidR="002C7BB5" w:rsidRPr="002C7BB5">
        <w:rPr>
          <w:color w:val="000000" w:themeColor="text1"/>
          <w:sz w:val="22"/>
          <w:szCs w:val="22"/>
          <w:lang w:val="en-GB"/>
        </w:rPr>
        <w:t>aloxone injection</w:t>
      </w:r>
    </w:p>
    <w:p w14:paraId="26D339E3" w14:textId="58F69A77"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N</w:t>
      </w:r>
      <w:r w:rsidR="002C7BB5" w:rsidRPr="002C7BB5">
        <w:rPr>
          <w:color w:val="000000" w:themeColor="text1"/>
          <w:sz w:val="22"/>
          <w:szCs w:val="22"/>
          <w:lang w:val="en-GB"/>
        </w:rPr>
        <w:t>itrolingual spray</w:t>
      </w:r>
    </w:p>
    <w:p w14:paraId="10608D03" w14:textId="0790A724"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P</w:t>
      </w:r>
      <w:r w:rsidR="002C7BB5" w:rsidRPr="002C7BB5">
        <w:rPr>
          <w:color w:val="000000" w:themeColor="text1"/>
          <w:sz w:val="22"/>
          <w:szCs w:val="22"/>
          <w:lang w:val="en-GB"/>
        </w:rPr>
        <w:t>enicillin injection</w:t>
      </w:r>
    </w:p>
    <w:p w14:paraId="630E73DF" w14:textId="5368D6BC" w:rsidR="002C7BB5" w:rsidRPr="002C7BB5" w:rsidRDefault="009A141D"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2C7BB5" w:rsidRPr="002C7BB5">
        <w:rPr>
          <w:color w:val="000000" w:themeColor="text1"/>
          <w:sz w:val="22"/>
          <w:szCs w:val="22"/>
          <w:lang w:val="en-GB"/>
        </w:rPr>
        <w:t>odium chloride (NaCl) for injection</w:t>
      </w:r>
    </w:p>
    <w:p w14:paraId="3E23FABD" w14:textId="7802CF26" w:rsidR="00CD478F" w:rsidRPr="00535935" w:rsidRDefault="002E5EC2" w:rsidP="00F2122C">
      <w:pPr>
        <w:pStyle w:val="ListParagraph"/>
        <w:numPr>
          <w:ilvl w:val="0"/>
          <w:numId w:val="23"/>
        </w:numPr>
        <w:spacing w:before="60" w:line="259" w:lineRule="auto"/>
        <w:ind w:left="567" w:hanging="567"/>
        <w:contextualSpacing w:val="0"/>
        <w:rPr>
          <w:color w:val="000000" w:themeColor="text1"/>
          <w:sz w:val="22"/>
          <w:szCs w:val="22"/>
          <w:lang w:val="en-GB"/>
        </w:rPr>
      </w:pPr>
      <w:r>
        <w:rPr>
          <w:color w:val="000000" w:themeColor="text1"/>
          <w:sz w:val="22"/>
          <w:szCs w:val="22"/>
          <w:lang w:val="en-GB"/>
        </w:rPr>
        <w:t>S</w:t>
      </w:r>
      <w:r w:rsidR="002C7BB5" w:rsidRPr="009A141D">
        <w:rPr>
          <w:color w:val="000000" w:themeColor="text1"/>
          <w:sz w:val="22"/>
          <w:szCs w:val="22"/>
          <w:lang w:val="en-GB"/>
        </w:rPr>
        <w:t>terile water for injection</w:t>
      </w:r>
      <w:r w:rsidRPr="00535935">
        <w:rPr>
          <w:color w:val="000000" w:themeColor="text1"/>
          <w:sz w:val="22"/>
          <w:szCs w:val="22"/>
          <w:lang w:val="en-GB"/>
        </w:rPr>
        <w:t xml:space="preserve"> </w:t>
      </w:r>
    </w:p>
    <w:sectPr w:rsidR="00CD478F" w:rsidRPr="00535935" w:rsidSect="00664BA7">
      <w:footerReference w:type="default" r:id="rId231"/>
      <w:headerReference w:type="first" r:id="rId232"/>
      <w:pgSz w:w="11906" w:h="16838"/>
      <w:pgMar w:top="1134" w:right="1077" w:bottom="851" w:left="1077"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23FDF" w14:textId="77777777" w:rsidR="00057032" w:rsidRDefault="00057032" w:rsidP="00BB06FF">
      <w:r>
        <w:separator/>
      </w:r>
    </w:p>
  </w:endnote>
  <w:endnote w:type="continuationSeparator" w:id="0">
    <w:p w14:paraId="3CF97773" w14:textId="77777777" w:rsidR="00057032" w:rsidRDefault="00057032" w:rsidP="00BB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 BT">
    <w:altName w:val="Calibri"/>
    <w:panose1 w:val="00000000000000000000"/>
    <w:charset w:val="00"/>
    <w:family w:val="swiss"/>
    <w:notTrueType/>
    <w:pitch w:val="variable"/>
    <w:sig w:usb0="00000003" w:usb1="00000000" w:usb2="00000000" w:usb3="00000000" w:csb0="00000001" w:csb1="00000000"/>
  </w:font>
  <w:font w:name="Swis721 Md BT">
    <w:altName w:val="Courier New"/>
    <w:panose1 w:val="00000000000000000000"/>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wis721 BT">
    <w:altName w:val="Courier New"/>
    <w:panose1 w:val="00000000000000000000"/>
    <w:charset w:val="00"/>
    <w:family w:val="swiss"/>
    <w:notTrueType/>
    <w:pitch w:val="variable"/>
    <w:sig w:usb0="00000003" w:usb1="00000000" w:usb2="00000000" w:usb3="00000000" w:csb0="00000001" w:csb1="00000000"/>
  </w:font>
  <w:font w:name="Swis721 Cn B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82455"/>
      <w:docPartObj>
        <w:docPartGallery w:val="Page Numbers (Bottom of Page)"/>
        <w:docPartUnique/>
      </w:docPartObj>
    </w:sdtPr>
    <w:sdtEndPr>
      <w:rPr>
        <w:noProof/>
      </w:rPr>
    </w:sdtEndPr>
    <w:sdtContent>
      <w:p w14:paraId="7B0281D6" w14:textId="6D1F5878" w:rsidR="00B05615" w:rsidRDefault="00B05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D039B9" w14:textId="77777777" w:rsidR="00B05615" w:rsidRDefault="00B0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ACC4" w14:textId="77777777" w:rsidR="00057032" w:rsidRDefault="00057032" w:rsidP="00BB06FF">
      <w:r>
        <w:separator/>
      </w:r>
    </w:p>
  </w:footnote>
  <w:footnote w:type="continuationSeparator" w:id="0">
    <w:p w14:paraId="35AE97DB" w14:textId="77777777" w:rsidR="00057032" w:rsidRDefault="00057032" w:rsidP="00BB06FF">
      <w:r>
        <w:continuationSeparator/>
      </w:r>
    </w:p>
  </w:footnote>
  <w:footnote w:id="1">
    <w:p w14:paraId="3F7208F9" w14:textId="23D0D35B" w:rsidR="00B05615" w:rsidRDefault="00B05615">
      <w:pPr>
        <w:pStyle w:val="FootnoteText"/>
      </w:pPr>
      <w:r>
        <w:rPr>
          <w:rStyle w:val="FootnoteReference"/>
        </w:rPr>
        <w:footnoteRef/>
      </w:r>
      <w:r>
        <w:t xml:space="preserve"> This definition of Equity is the Ministry of Health’s formal definition, approved in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6AD4" w14:textId="50F0FE70" w:rsidR="00B05615" w:rsidRDefault="00B05615">
    <w:pPr>
      <w:pStyle w:val="Header"/>
    </w:pPr>
    <w:r>
      <w:rPr>
        <w:noProof/>
      </w:rPr>
      <w:drawing>
        <wp:inline distT="0" distB="0" distL="0" distR="0" wp14:anchorId="485DF51D" wp14:editId="57913EFD">
          <wp:extent cx="2528333" cy="65105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2581772" cy="664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8ED1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1C5C"/>
    <w:multiLevelType w:val="hybridMultilevel"/>
    <w:tmpl w:val="539E3CA8"/>
    <w:lvl w:ilvl="0" w:tplc="8D207084">
      <w:start w:val="1"/>
      <w:numFmt w:val="bullet"/>
      <w:pStyle w:val="TableCellBULLETSblue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E044D"/>
    <w:multiLevelType w:val="multilevel"/>
    <w:tmpl w:val="6B0C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D1FC3"/>
    <w:multiLevelType w:val="hybridMultilevel"/>
    <w:tmpl w:val="75B40BBA"/>
    <w:lvl w:ilvl="0" w:tplc="52FE66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36D5C"/>
    <w:multiLevelType w:val="hybridMultilevel"/>
    <w:tmpl w:val="50288E64"/>
    <w:lvl w:ilvl="0" w:tplc="14090001">
      <w:start w:val="1"/>
      <w:numFmt w:val="bullet"/>
      <w:lvlText w:val=""/>
      <w:lvlJc w:val="left"/>
      <w:pPr>
        <w:ind w:left="540" w:hanging="360"/>
      </w:pPr>
      <w:rPr>
        <w:rFonts w:ascii="Symbol" w:hAnsi="Symbol" w:hint="default"/>
      </w:rPr>
    </w:lvl>
    <w:lvl w:ilvl="1" w:tplc="14090003" w:tentative="1">
      <w:start w:val="1"/>
      <w:numFmt w:val="bullet"/>
      <w:lvlText w:val="o"/>
      <w:lvlJc w:val="left"/>
      <w:pPr>
        <w:ind w:left="1260" w:hanging="360"/>
      </w:pPr>
      <w:rPr>
        <w:rFonts w:ascii="Courier New" w:hAnsi="Courier New" w:cs="Courier New" w:hint="default"/>
      </w:rPr>
    </w:lvl>
    <w:lvl w:ilvl="2" w:tplc="14090005" w:tentative="1">
      <w:start w:val="1"/>
      <w:numFmt w:val="bullet"/>
      <w:lvlText w:val=""/>
      <w:lvlJc w:val="left"/>
      <w:pPr>
        <w:ind w:left="1980" w:hanging="360"/>
      </w:pPr>
      <w:rPr>
        <w:rFonts w:ascii="Wingdings" w:hAnsi="Wingdings" w:hint="default"/>
      </w:rPr>
    </w:lvl>
    <w:lvl w:ilvl="3" w:tplc="14090001" w:tentative="1">
      <w:start w:val="1"/>
      <w:numFmt w:val="bullet"/>
      <w:lvlText w:val=""/>
      <w:lvlJc w:val="left"/>
      <w:pPr>
        <w:ind w:left="2700" w:hanging="360"/>
      </w:pPr>
      <w:rPr>
        <w:rFonts w:ascii="Symbol" w:hAnsi="Symbol" w:hint="default"/>
      </w:rPr>
    </w:lvl>
    <w:lvl w:ilvl="4" w:tplc="14090003" w:tentative="1">
      <w:start w:val="1"/>
      <w:numFmt w:val="bullet"/>
      <w:lvlText w:val="o"/>
      <w:lvlJc w:val="left"/>
      <w:pPr>
        <w:ind w:left="3420" w:hanging="360"/>
      </w:pPr>
      <w:rPr>
        <w:rFonts w:ascii="Courier New" w:hAnsi="Courier New" w:cs="Courier New" w:hint="default"/>
      </w:rPr>
    </w:lvl>
    <w:lvl w:ilvl="5" w:tplc="14090005" w:tentative="1">
      <w:start w:val="1"/>
      <w:numFmt w:val="bullet"/>
      <w:lvlText w:val=""/>
      <w:lvlJc w:val="left"/>
      <w:pPr>
        <w:ind w:left="4140" w:hanging="360"/>
      </w:pPr>
      <w:rPr>
        <w:rFonts w:ascii="Wingdings" w:hAnsi="Wingdings" w:hint="default"/>
      </w:rPr>
    </w:lvl>
    <w:lvl w:ilvl="6" w:tplc="14090001" w:tentative="1">
      <w:start w:val="1"/>
      <w:numFmt w:val="bullet"/>
      <w:lvlText w:val=""/>
      <w:lvlJc w:val="left"/>
      <w:pPr>
        <w:ind w:left="4860" w:hanging="360"/>
      </w:pPr>
      <w:rPr>
        <w:rFonts w:ascii="Symbol" w:hAnsi="Symbol" w:hint="default"/>
      </w:rPr>
    </w:lvl>
    <w:lvl w:ilvl="7" w:tplc="14090003" w:tentative="1">
      <w:start w:val="1"/>
      <w:numFmt w:val="bullet"/>
      <w:lvlText w:val="o"/>
      <w:lvlJc w:val="left"/>
      <w:pPr>
        <w:ind w:left="5580" w:hanging="360"/>
      </w:pPr>
      <w:rPr>
        <w:rFonts w:ascii="Courier New" w:hAnsi="Courier New" w:cs="Courier New" w:hint="default"/>
      </w:rPr>
    </w:lvl>
    <w:lvl w:ilvl="8" w:tplc="14090005" w:tentative="1">
      <w:start w:val="1"/>
      <w:numFmt w:val="bullet"/>
      <w:lvlText w:val=""/>
      <w:lvlJc w:val="left"/>
      <w:pPr>
        <w:ind w:left="6300" w:hanging="360"/>
      </w:pPr>
      <w:rPr>
        <w:rFonts w:ascii="Wingdings" w:hAnsi="Wingdings" w:hint="default"/>
      </w:rPr>
    </w:lvl>
  </w:abstractNum>
  <w:abstractNum w:abstractNumId="5" w15:restartNumberingAfterBreak="0">
    <w:nsid w:val="0FC658D1"/>
    <w:multiLevelType w:val="hybridMultilevel"/>
    <w:tmpl w:val="4950F0FC"/>
    <w:lvl w:ilvl="0" w:tplc="81CAC8AC">
      <w:start w:val="1"/>
      <w:numFmt w:val="bullet"/>
      <w:pStyle w:val="TableCellBULLETSred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F0A8C"/>
    <w:multiLevelType w:val="hybridMultilevel"/>
    <w:tmpl w:val="BB5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276EC"/>
    <w:multiLevelType w:val="hybridMultilevel"/>
    <w:tmpl w:val="DBEA3B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9940549"/>
    <w:multiLevelType w:val="hybridMultilevel"/>
    <w:tmpl w:val="C49AD622"/>
    <w:lvl w:ilvl="0" w:tplc="CDE2D350">
      <w:start w:val="1"/>
      <w:numFmt w:val="lowerLetter"/>
      <w:pStyle w:val="Lista"/>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6A11A4"/>
    <w:multiLevelType w:val="hybridMultilevel"/>
    <w:tmpl w:val="D064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27AF2"/>
    <w:multiLevelType w:val="hybridMultilevel"/>
    <w:tmpl w:val="C41E26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0231D60"/>
    <w:multiLevelType w:val="multilevel"/>
    <w:tmpl w:val="D5F25AC0"/>
    <w:lvl w:ilvl="0">
      <w:start w:val="1"/>
      <w:numFmt w:val="decimal"/>
      <w:pStyle w:val="HHLMainHeading"/>
      <w:lvlText w:val="%1."/>
      <w:lvlJc w:val="left"/>
      <w:pPr>
        <w:ind w:left="2203" w:hanging="360"/>
      </w:pPr>
      <w:rPr>
        <w:rFonts w:hint="default"/>
      </w:rPr>
    </w:lvl>
    <w:lvl w:ilvl="1">
      <w:start w:val="1"/>
      <w:numFmt w:val="decimal"/>
      <w:pStyle w:val="HHLSubHeading"/>
      <w:lvlText w:val="%1.%2."/>
      <w:lvlJc w:val="left"/>
      <w:pPr>
        <w:ind w:left="3492" w:hanging="432"/>
      </w:pPr>
      <w:rPr>
        <w:rFonts w:hint="default"/>
      </w:rPr>
    </w:lvl>
    <w:lvl w:ilvl="2">
      <w:start w:val="1"/>
      <w:numFmt w:val="decimal"/>
      <w:pStyle w:val="HHLSubSubHeading"/>
      <w:lvlText w:val="%1.%2.%3."/>
      <w:lvlJc w:val="left"/>
      <w:pPr>
        <w:ind w:left="48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1108D8"/>
    <w:multiLevelType w:val="multilevel"/>
    <w:tmpl w:val="E49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2098D"/>
    <w:multiLevelType w:val="hybridMultilevel"/>
    <w:tmpl w:val="FCB44332"/>
    <w:lvl w:ilvl="0" w:tplc="2F4CD422">
      <w:start w:val="1"/>
      <w:numFmt w:val="bullet"/>
      <w:lvlText w:val="o"/>
      <w:lvlJc w:val="left"/>
      <w:pPr>
        <w:ind w:left="1287" w:hanging="360"/>
      </w:pPr>
      <w:rPr>
        <w:rFonts w:ascii="Courier New" w:hAnsi="Courier New" w:cs="Courier New"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BAA655A"/>
    <w:multiLevelType w:val="hybridMultilevel"/>
    <w:tmpl w:val="A6BE334C"/>
    <w:lvl w:ilvl="0" w:tplc="458EBD4A">
      <w:start w:val="1"/>
      <w:numFmt w:val="decimal"/>
      <w:pStyle w:val="HHLNumbering"/>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C7A01C7"/>
    <w:multiLevelType w:val="hybridMultilevel"/>
    <w:tmpl w:val="50A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93F5D"/>
    <w:multiLevelType w:val="hybridMultilevel"/>
    <w:tmpl w:val="B2B69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71223"/>
    <w:multiLevelType w:val="multilevel"/>
    <w:tmpl w:val="57BE96D4"/>
    <w:lvl w:ilvl="0">
      <w:start w:val="1"/>
      <w:numFmt w:val="decimal"/>
      <w:lvlText w:val="%1"/>
      <w:lvlJc w:val="left"/>
      <w:pPr>
        <w:ind w:left="360" w:hanging="360"/>
      </w:pPr>
      <w:rPr>
        <w:rFonts w:hint="default"/>
      </w:rPr>
    </w:lvl>
    <w:lvl w:ilvl="1">
      <w:start w:val="1"/>
      <w:numFmt w:val="decimal"/>
      <w:pStyle w:val="Indicator"/>
      <w:suff w:val="nothing"/>
      <w:lvlText w:val="Indicator %2 – "/>
      <w:lvlJc w:val="left"/>
      <w:pPr>
        <w:ind w:left="0" w:firstLine="0"/>
      </w:pPr>
      <w:rPr>
        <w:rFonts w:hint="default"/>
      </w:rPr>
    </w:lvl>
    <w:lvl w:ilvl="2">
      <w:start w:val="1"/>
      <w:numFmt w:val="decimal"/>
      <w:pStyle w:val="Criteria-Indicator"/>
      <w:suff w:val="nothing"/>
      <w:lvlText w:val="Criteria %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094B10"/>
    <w:multiLevelType w:val="hybridMultilevel"/>
    <w:tmpl w:val="ACBAD1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BC28FE"/>
    <w:multiLevelType w:val="hybridMultilevel"/>
    <w:tmpl w:val="499C4202"/>
    <w:lvl w:ilvl="0" w:tplc="80AE0600">
      <w:start w:val="1"/>
      <w:numFmt w:val="bullet"/>
      <w:lvlText w:val=""/>
      <w:lvlJc w:val="left"/>
      <w:pPr>
        <w:ind w:left="644" w:hanging="360"/>
      </w:pPr>
      <w:rPr>
        <w:rFonts w:ascii="Symbol" w:hAnsi="Symbol" w:hint="default"/>
        <w:color w:val="0000FF"/>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15:restartNumberingAfterBreak="0">
    <w:nsid w:val="3D2045F3"/>
    <w:multiLevelType w:val="hybridMultilevel"/>
    <w:tmpl w:val="7720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95C4D"/>
    <w:multiLevelType w:val="hybridMultilevel"/>
    <w:tmpl w:val="1502372E"/>
    <w:lvl w:ilvl="0" w:tplc="3F086234">
      <w:start w:val="1"/>
      <w:numFmt w:val="bullet"/>
      <w:pStyle w:val="Bullets"/>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5A01CA"/>
    <w:multiLevelType w:val="hybridMultilevel"/>
    <w:tmpl w:val="3BE89B88"/>
    <w:lvl w:ilvl="0" w:tplc="4B846760">
      <w:start w:val="1"/>
      <w:numFmt w:val="bullet"/>
      <w:pStyle w:val="HH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5B04D7"/>
    <w:multiLevelType w:val="hybridMultilevel"/>
    <w:tmpl w:val="07BC1532"/>
    <w:lvl w:ilvl="0" w:tplc="80AE0600">
      <w:start w:val="1"/>
      <w:numFmt w:val="bullet"/>
      <w:lvlText w:val=""/>
      <w:lvlJc w:val="left"/>
      <w:pPr>
        <w:ind w:left="360" w:hanging="360"/>
      </w:pPr>
      <w:rPr>
        <w:rFonts w:ascii="Symbol" w:hAnsi="Symbol" w:hint="default"/>
        <w:color w:val="0000F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B00123D"/>
    <w:multiLevelType w:val="hybridMultilevel"/>
    <w:tmpl w:val="B18CBCF0"/>
    <w:lvl w:ilvl="0" w:tplc="96862974">
      <w:start w:val="1"/>
      <w:numFmt w:val="bullet"/>
      <w:pStyle w:val="Bulletsinnumberedlis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4CA05AAD"/>
    <w:multiLevelType w:val="hybridMultilevel"/>
    <w:tmpl w:val="9D7C42BE"/>
    <w:lvl w:ilvl="0" w:tplc="F4A4D530">
      <w:start w:val="1"/>
      <w:numFmt w:val="bullet"/>
      <w:lvlText w:val="o"/>
      <w:lvlJc w:val="left"/>
      <w:pPr>
        <w:ind w:left="1363" w:hanging="360"/>
      </w:pPr>
      <w:rPr>
        <w:rFonts w:ascii="Courier New" w:hAnsi="Courier New" w:cs="Courier New" w:hint="default"/>
        <w:color w:val="0000FF"/>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6" w15:restartNumberingAfterBreak="0">
    <w:nsid w:val="5027296E"/>
    <w:multiLevelType w:val="multilevel"/>
    <w:tmpl w:val="FF9CBEB8"/>
    <w:lvl w:ilvl="0">
      <w:start w:val="1"/>
      <w:numFmt w:val="decimal"/>
      <w:lvlText w:val="%1."/>
      <w:lvlJc w:val="left"/>
      <w:pPr>
        <w:tabs>
          <w:tab w:val="num" w:pos="709"/>
        </w:tabs>
        <w:ind w:left="709" w:hanging="709"/>
      </w:pPr>
    </w:lvl>
    <w:lvl w:ilvl="1">
      <w:start w:val="1"/>
      <w:numFmt w:val="decimal"/>
      <w:pStyle w:val="SchedPara1"/>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497"/>
        </w:tabs>
        <w:ind w:left="2126" w:hanging="709"/>
      </w:pPr>
    </w:lvl>
    <w:lvl w:ilvl="4">
      <w:start w:val="1"/>
      <w:numFmt w:val="upperLetter"/>
      <w:lvlText w:val="(%5)"/>
      <w:lvlJc w:val="left"/>
      <w:pPr>
        <w:tabs>
          <w:tab w:val="num" w:pos="2976"/>
        </w:tabs>
        <w:ind w:left="2976" w:hanging="850"/>
      </w:pPr>
    </w:lvl>
    <w:lvl w:ilvl="5">
      <w:start w:val="1"/>
      <w:numFmt w:val="upperRoman"/>
      <w:lvlText w:val="(%6)"/>
      <w:lvlJc w:val="left"/>
      <w:pPr>
        <w:tabs>
          <w:tab w:val="num" w:pos="3685"/>
        </w:tabs>
        <w:ind w:left="3685" w:hanging="709"/>
      </w:pPr>
    </w:lvl>
    <w:lvl w:ilvl="6">
      <w:start w:val="1"/>
      <w:numFmt w:val="decimal"/>
      <w:lvlText w:val="(%7)"/>
      <w:lvlJc w:val="left"/>
      <w:pPr>
        <w:tabs>
          <w:tab w:val="num" w:pos="4394"/>
        </w:tabs>
        <w:ind w:left="4394" w:hanging="709"/>
      </w:pPr>
    </w:lvl>
    <w:lvl w:ilvl="7">
      <w:start w:val="1"/>
      <w:numFmt w:val="upperRoman"/>
      <w:lvlText w:val="(%8)"/>
      <w:lvlJc w:val="left"/>
      <w:pPr>
        <w:tabs>
          <w:tab w:val="num" w:pos="4961"/>
        </w:tabs>
        <w:ind w:left="4961" w:hanging="567"/>
      </w:pPr>
    </w:lvl>
    <w:lvl w:ilvl="8">
      <w:start w:val="1"/>
      <w:numFmt w:val="none"/>
      <w:suff w:val="nothing"/>
      <w:lvlText w:val=""/>
      <w:lvlJc w:val="left"/>
      <w:pPr>
        <w:ind w:left="0" w:firstLine="0"/>
      </w:pPr>
    </w:lvl>
  </w:abstractNum>
  <w:abstractNum w:abstractNumId="27" w15:restartNumberingAfterBreak="0">
    <w:nsid w:val="50372502"/>
    <w:multiLevelType w:val="hybridMultilevel"/>
    <w:tmpl w:val="EFA2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454DA"/>
    <w:multiLevelType w:val="hybridMultilevel"/>
    <w:tmpl w:val="D416122C"/>
    <w:lvl w:ilvl="0" w:tplc="22B87920">
      <w:start w:val="1"/>
      <w:numFmt w:val="bullet"/>
      <w:lvlText w:val="o"/>
      <w:lvlJc w:val="left"/>
      <w:pPr>
        <w:ind w:left="1012" w:hanging="360"/>
      </w:pPr>
      <w:rPr>
        <w:rFonts w:ascii="Courier New" w:hAnsi="Courier New" w:cs="Courier New" w:hint="default"/>
        <w:color w:val="auto"/>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9" w15:restartNumberingAfterBreak="0">
    <w:nsid w:val="630915C8"/>
    <w:multiLevelType w:val="hybridMultilevel"/>
    <w:tmpl w:val="868889AE"/>
    <w:lvl w:ilvl="0" w:tplc="2F4CD422">
      <w:start w:val="1"/>
      <w:numFmt w:val="bullet"/>
      <w:lvlText w:val="o"/>
      <w:lvlJc w:val="left"/>
      <w:pPr>
        <w:ind w:left="644" w:hanging="360"/>
      </w:pPr>
      <w:rPr>
        <w:rFonts w:ascii="Courier New" w:hAnsi="Courier New" w:cs="Courier New" w:hint="default"/>
        <w:color w:val="0000FF"/>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0" w15:restartNumberingAfterBreak="0">
    <w:nsid w:val="6A9C4240"/>
    <w:multiLevelType w:val="hybridMultilevel"/>
    <w:tmpl w:val="F944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1" w15:restartNumberingAfterBreak="0">
    <w:nsid w:val="6CF82648"/>
    <w:multiLevelType w:val="hybridMultilevel"/>
    <w:tmpl w:val="9B58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13665"/>
    <w:multiLevelType w:val="hybridMultilevel"/>
    <w:tmpl w:val="EE70BCBA"/>
    <w:lvl w:ilvl="0" w:tplc="D1A65A0A">
      <w:start w:val="1"/>
      <w:numFmt w:val="decimal"/>
      <w:pStyle w:val="List1"/>
      <w:lvlText w:val="%1."/>
      <w:lvlJc w:val="left"/>
      <w:pPr>
        <w:ind w:left="2629" w:hanging="360"/>
      </w:pPr>
      <w:rPr>
        <w:b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3" w15:restartNumberingAfterBreak="0">
    <w:nsid w:val="741518B8"/>
    <w:multiLevelType w:val="hybridMultilevel"/>
    <w:tmpl w:val="0D3E6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65D206F"/>
    <w:multiLevelType w:val="hybridMultilevel"/>
    <w:tmpl w:val="D44638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F4F499A"/>
    <w:multiLevelType w:val="hybridMultilevel"/>
    <w:tmpl w:val="CD4E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1"/>
  </w:num>
  <w:num w:numId="4">
    <w:abstractNumId w:val="31"/>
  </w:num>
  <w:num w:numId="5">
    <w:abstractNumId w:val="10"/>
  </w:num>
  <w:num w:numId="6">
    <w:abstractNumId w:val="0"/>
  </w:num>
  <w:num w:numId="7">
    <w:abstractNumId w:val="26"/>
  </w:num>
  <w:num w:numId="8">
    <w:abstractNumId w:val="15"/>
  </w:num>
  <w:num w:numId="9">
    <w:abstractNumId w:val="18"/>
  </w:num>
  <w:num w:numId="10">
    <w:abstractNumId w:val="21"/>
  </w:num>
  <w:num w:numId="11">
    <w:abstractNumId w:val="1"/>
  </w:num>
  <w:num w:numId="12">
    <w:abstractNumId w:val="24"/>
  </w:num>
  <w:num w:numId="13">
    <w:abstractNumId w:val="5"/>
  </w:num>
  <w:num w:numId="14">
    <w:abstractNumId w:val="32"/>
  </w:num>
  <w:num w:numId="15">
    <w:abstractNumId w:val="16"/>
  </w:num>
  <w:num w:numId="16">
    <w:abstractNumId w:val="8"/>
  </w:num>
  <w:num w:numId="17">
    <w:abstractNumId w:val="8"/>
    <w:lvlOverride w:ilvl="0">
      <w:startOverride w:val="1"/>
    </w:lvlOverride>
  </w:num>
  <w:num w:numId="18">
    <w:abstractNumId w:val="17"/>
  </w:num>
  <w:num w:numId="19">
    <w:abstractNumId w:val="2"/>
  </w:num>
  <w:num w:numId="20">
    <w:abstractNumId w:val="20"/>
  </w:num>
  <w:num w:numId="21">
    <w:abstractNumId w:val="35"/>
  </w:num>
  <w:num w:numId="22">
    <w:abstractNumId w:val="12"/>
  </w:num>
  <w:num w:numId="23">
    <w:abstractNumId w:val="3"/>
  </w:num>
  <w:num w:numId="24">
    <w:abstractNumId w:val="32"/>
    <w:lvlOverride w:ilvl="0">
      <w:startOverride w:val="1"/>
    </w:lvlOverride>
  </w:num>
  <w:num w:numId="25">
    <w:abstractNumId w:val="32"/>
    <w:lvlOverride w:ilvl="0">
      <w:startOverride w:val="1"/>
    </w:lvlOverride>
  </w:num>
  <w:num w:numId="26">
    <w:abstractNumId w:val="27"/>
  </w:num>
  <w:num w:numId="27">
    <w:abstractNumId w:val="32"/>
    <w:lvlOverride w:ilvl="0">
      <w:startOverride w:val="1"/>
    </w:lvlOverride>
  </w:num>
  <w:num w:numId="28">
    <w:abstractNumId w:val="6"/>
  </w:num>
  <w:num w:numId="29">
    <w:abstractNumId w:val="9"/>
  </w:num>
  <w:num w:numId="30">
    <w:abstractNumId w:val="7"/>
  </w:num>
  <w:num w:numId="31">
    <w:abstractNumId w:val="13"/>
  </w:num>
  <w:num w:numId="32">
    <w:abstractNumId w:val="28"/>
  </w:num>
  <w:num w:numId="33">
    <w:abstractNumId w:val="25"/>
  </w:num>
  <w:num w:numId="34">
    <w:abstractNumId w:val="32"/>
    <w:lvlOverride w:ilvl="0">
      <w:startOverride w:val="1"/>
    </w:lvlOverride>
  </w:num>
  <w:num w:numId="35">
    <w:abstractNumId w:val="30"/>
  </w:num>
  <w:num w:numId="36">
    <w:abstractNumId w:val="4"/>
  </w:num>
  <w:num w:numId="37">
    <w:abstractNumId w:val="23"/>
  </w:num>
  <w:num w:numId="38">
    <w:abstractNumId w:val="33"/>
  </w:num>
  <w:num w:numId="39">
    <w:abstractNumId w:val="19"/>
  </w:num>
  <w:num w:numId="40">
    <w:abstractNumId w:val="34"/>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40"/>
    <w:rsid w:val="00000C2F"/>
    <w:rsid w:val="00000EE2"/>
    <w:rsid w:val="00001887"/>
    <w:rsid w:val="00001916"/>
    <w:rsid w:val="00002AC1"/>
    <w:rsid w:val="00003135"/>
    <w:rsid w:val="00003B0D"/>
    <w:rsid w:val="00003E45"/>
    <w:rsid w:val="00006276"/>
    <w:rsid w:val="00006963"/>
    <w:rsid w:val="000078DD"/>
    <w:rsid w:val="00007CC2"/>
    <w:rsid w:val="00007F5E"/>
    <w:rsid w:val="00010330"/>
    <w:rsid w:val="000106BE"/>
    <w:rsid w:val="00011289"/>
    <w:rsid w:val="0001164B"/>
    <w:rsid w:val="000116F1"/>
    <w:rsid w:val="00014227"/>
    <w:rsid w:val="000147CF"/>
    <w:rsid w:val="000148D8"/>
    <w:rsid w:val="00014D5E"/>
    <w:rsid w:val="00016034"/>
    <w:rsid w:val="0002054C"/>
    <w:rsid w:val="00021A4D"/>
    <w:rsid w:val="0002213D"/>
    <w:rsid w:val="000221AF"/>
    <w:rsid w:val="00022318"/>
    <w:rsid w:val="00023BC2"/>
    <w:rsid w:val="0002429F"/>
    <w:rsid w:val="0002433F"/>
    <w:rsid w:val="00024613"/>
    <w:rsid w:val="0002491B"/>
    <w:rsid w:val="000254D8"/>
    <w:rsid w:val="00025546"/>
    <w:rsid w:val="00026D0F"/>
    <w:rsid w:val="00027066"/>
    <w:rsid w:val="00030420"/>
    <w:rsid w:val="00030981"/>
    <w:rsid w:val="000326E6"/>
    <w:rsid w:val="00032773"/>
    <w:rsid w:val="0003299F"/>
    <w:rsid w:val="00032FA7"/>
    <w:rsid w:val="000330A6"/>
    <w:rsid w:val="0003368B"/>
    <w:rsid w:val="00034773"/>
    <w:rsid w:val="00036643"/>
    <w:rsid w:val="00042BD5"/>
    <w:rsid w:val="00044185"/>
    <w:rsid w:val="0004453F"/>
    <w:rsid w:val="0004548E"/>
    <w:rsid w:val="00045EF8"/>
    <w:rsid w:val="00045EFD"/>
    <w:rsid w:val="00046569"/>
    <w:rsid w:val="00047E38"/>
    <w:rsid w:val="00047E55"/>
    <w:rsid w:val="000500BE"/>
    <w:rsid w:val="00050659"/>
    <w:rsid w:val="00050EB9"/>
    <w:rsid w:val="00051E06"/>
    <w:rsid w:val="00052186"/>
    <w:rsid w:val="00053325"/>
    <w:rsid w:val="000533AF"/>
    <w:rsid w:val="0005447E"/>
    <w:rsid w:val="00054DC4"/>
    <w:rsid w:val="00054E0E"/>
    <w:rsid w:val="00056367"/>
    <w:rsid w:val="000566AD"/>
    <w:rsid w:val="00056B21"/>
    <w:rsid w:val="00057032"/>
    <w:rsid w:val="00057143"/>
    <w:rsid w:val="0005715D"/>
    <w:rsid w:val="00057F88"/>
    <w:rsid w:val="000604BC"/>
    <w:rsid w:val="00060593"/>
    <w:rsid w:val="0006126A"/>
    <w:rsid w:val="00061C8A"/>
    <w:rsid w:val="00061C92"/>
    <w:rsid w:val="000633BB"/>
    <w:rsid w:val="00063926"/>
    <w:rsid w:val="00064E90"/>
    <w:rsid w:val="00065862"/>
    <w:rsid w:val="00065A13"/>
    <w:rsid w:val="00066AD4"/>
    <w:rsid w:val="00067009"/>
    <w:rsid w:val="000679DA"/>
    <w:rsid w:val="0007043F"/>
    <w:rsid w:val="0007044A"/>
    <w:rsid w:val="0007090E"/>
    <w:rsid w:val="00071C73"/>
    <w:rsid w:val="000741A4"/>
    <w:rsid w:val="00074304"/>
    <w:rsid w:val="000748F9"/>
    <w:rsid w:val="00074B92"/>
    <w:rsid w:val="000755F3"/>
    <w:rsid w:val="000757E2"/>
    <w:rsid w:val="000759B8"/>
    <w:rsid w:val="000771A7"/>
    <w:rsid w:val="00080C31"/>
    <w:rsid w:val="000811F8"/>
    <w:rsid w:val="000837FF"/>
    <w:rsid w:val="000838F9"/>
    <w:rsid w:val="0008470D"/>
    <w:rsid w:val="00085807"/>
    <w:rsid w:val="000859A8"/>
    <w:rsid w:val="00085D59"/>
    <w:rsid w:val="0008645E"/>
    <w:rsid w:val="00086F3A"/>
    <w:rsid w:val="00087AA3"/>
    <w:rsid w:val="00090553"/>
    <w:rsid w:val="00090651"/>
    <w:rsid w:val="00091855"/>
    <w:rsid w:val="000918B4"/>
    <w:rsid w:val="00092CE8"/>
    <w:rsid w:val="00094335"/>
    <w:rsid w:val="00094C2D"/>
    <w:rsid w:val="00095D74"/>
    <w:rsid w:val="00095EFD"/>
    <w:rsid w:val="0009616C"/>
    <w:rsid w:val="00096B5C"/>
    <w:rsid w:val="000972A7"/>
    <w:rsid w:val="0009734F"/>
    <w:rsid w:val="000A00A8"/>
    <w:rsid w:val="000A03CC"/>
    <w:rsid w:val="000A082B"/>
    <w:rsid w:val="000A1380"/>
    <w:rsid w:val="000A1CD2"/>
    <w:rsid w:val="000A2091"/>
    <w:rsid w:val="000A2521"/>
    <w:rsid w:val="000A2777"/>
    <w:rsid w:val="000A28EC"/>
    <w:rsid w:val="000A3A62"/>
    <w:rsid w:val="000A5106"/>
    <w:rsid w:val="000A5D6F"/>
    <w:rsid w:val="000A6069"/>
    <w:rsid w:val="000A6AFE"/>
    <w:rsid w:val="000A75AD"/>
    <w:rsid w:val="000A7BFB"/>
    <w:rsid w:val="000B06F9"/>
    <w:rsid w:val="000B2658"/>
    <w:rsid w:val="000B2786"/>
    <w:rsid w:val="000B3077"/>
    <w:rsid w:val="000B50C4"/>
    <w:rsid w:val="000B5690"/>
    <w:rsid w:val="000B5C19"/>
    <w:rsid w:val="000B60DA"/>
    <w:rsid w:val="000B6435"/>
    <w:rsid w:val="000C07F9"/>
    <w:rsid w:val="000C0B45"/>
    <w:rsid w:val="000C0FBD"/>
    <w:rsid w:val="000C1063"/>
    <w:rsid w:val="000C14A5"/>
    <w:rsid w:val="000C1523"/>
    <w:rsid w:val="000C18D6"/>
    <w:rsid w:val="000C1EA7"/>
    <w:rsid w:val="000C1F46"/>
    <w:rsid w:val="000C2125"/>
    <w:rsid w:val="000C285C"/>
    <w:rsid w:val="000C2D2B"/>
    <w:rsid w:val="000C2E06"/>
    <w:rsid w:val="000C3589"/>
    <w:rsid w:val="000C36BE"/>
    <w:rsid w:val="000C4509"/>
    <w:rsid w:val="000C4941"/>
    <w:rsid w:val="000C6773"/>
    <w:rsid w:val="000C6CCD"/>
    <w:rsid w:val="000C7082"/>
    <w:rsid w:val="000C7C9E"/>
    <w:rsid w:val="000D203D"/>
    <w:rsid w:val="000D24E1"/>
    <w:rsid w:val="000D2B61"/>
    <w:rsid w:val="000D2D00"/>
    <w:rsid w:val="000D32C3"/>
    <w:rsid w:val="000D3546"/>
    <w:rsid w:val="000D480F"/>
    <w:rsid w:val="000D5709"/>
    <w:rsid w:val="000D5980"/>
    <w:rsid w:val="000D5EFB"/>
    <w:rsid w:val="000D608F"/>
    <w:rsid w:val="000D6D31"/>
    <w:rsid w:val="000D784F"/>
    <w:rsid w:val="000D78F1"/>
    <w:rsid w:val="000E0DBF"/>
    <w:rsid w:val="000E1163"/>
    <w:rsid w:val="000E1494"/>
    <w:rsid w:val="000E19C8"/>
    <w:rsid w:val="000E1BE4"/>
    <w:rsid w:val="000E1E91"/>
    <w:rsid w:val="000E2C0E"/>
    <w:rsid w:val="000E30B6"/>
    <w:rsid w:val="000E3E85"/>
    <w:rsid w:val="000E41BA"/>
    <w:rsid w:val="000E51A1"/>
    <w:rsid w:val="000E653F"/>
    <w:rsid w:val="000F02CC"/>
    <w:rsid w:val="000F03C8"/>
    <w:rsid w:val="000F150A"/>
    <w:rsid w:val="000F30BC"/>
    <w:rsid w:val="000F359E"/>
    <w:rsid w:val="000F4B71"/>
    <w:rsid w:val="000F513E"/>
    <w:rsid w:val="000F5D1D"/>
    <w:rsid w:val="000F6DDD"/>
    <w:rsid w:val="000F71B3"/>
    <w:rsid w:val="000F7381"/>
    <w:rsid w:val="00100D18"/>
    <w:rsid w:val="00102C5C"/>
    <w:rsid w:val="0010337F"/>
    <w:rsid w:val="0010368E"/>
    <w:rsid w:val="001045E9"/>
    <w:rsid w:val="001055F6"/>
    <w:rsid w:val="00105C48"/>
    <w:rsid w:val="001062C2"/>
    <w:rsid w:val="00106EDC"/>
    <w:rsid w:val="00106F53"/>
    <w:rsid w:val="001072F3"/>
    <w:rsid w:val="00107D6B"/>
    <w:rsid w:val="00111036"/>
    <w:rsid w:val="001112CF"/>
    <w:rsid w:val="0011233C"/>
    <w:rsid w:val="00112471"/>
    <w:rsid w:val="0011332B"/>
    <w:rsid w:val="00113654"/>
    <w:rsid w:val="00113D0F"/>
    <w:rsid w:val="00113E19"/>
    <w:rsid w:val="00113F6A"/>
    <w:rsid w:val="00114462"/>
    <w:rsid w:val="00114E0D"/>
    <w:rsid w:val="0011537D"/>
    <w:rsid w:val="001164E4"/>
    <w:rsid w:val="00116838"/>
    <w:rsid w:val="00117442"/>
    <w:rsid w:val="00117A05"/>
    <w:rsid w:val="00120D2C"/>
    <w:rsid w:val="001213D6"/>
    <w:rsid w:val="00121BE8"/>
    <w:rsid w:val="00122275"/>
    <w:rsid w:val="001229FC"/>
    <w:rsid w:val="001241DD"/>
    <w:rsid w:val="00124C03"/>
    <w:rsid w:val="001259AF"/>
    <w:rsid w:val="001259E9"/>
    <w:rsid w:val="00125E27"/>
    <w:rsid w:val="001260D7"/>
    <w:rsid w:val="001265D9"/>
    <w:rsid w:val="001276DB"/>
    <w:rsid w:val="00127AAE"/>
    <w:rsid w:val="0013171D"/>
    <w:rsid w:val="00132654"/>
    <w:rsid w:val="001344FB"/>
    <w:rsid w:val="001345F2"/>
    <w:rsid w:val="00135095"/>
    <w:rsid w:val="001354FF"/>
    <w:rsid w:val="00135894"/>
    <w:rsid w:val="0013598D"/>
    <w:rsid w:val="001371FE"/>
    <w:rsid w:val="00137F3D"/>
    <w:rsid w:val="0014059F"/>
    <w:rsid w:val="00141742"/>
    <w:rsid w:val="001428F3"/>
    <w:rsid w:val="00143D2B"/>
    <w:rsid w:val="00145565"/>
    <w:rsid w:val="00145F34"/>
    <w:rsid w:val="0014625E"/>
    <w:rsid w:val="00146547"/>
    <w:rsid w:val="00146AE9"/>
    <w:rsid w:val="00146C6A"/>
    <w:rsid w:val="00146D88"/>
    <w:rsid w:val="001508C3"/>
    <w:rsid w:val="0015123D"/>
    <w:rsid w:val="00151A54"/>
    <w:rsid w:val="001522A4"/>
    <w:rsid w:val="001525D9"/>
    <w:rsid w:val="00152A7F"/>
    <w:rsid w:val="001547D8"/>
    <w:rsid w:val="00155154"/>
    <w:rsid w:val="0015538F"/>
    <w:rsid w:val="001556C7"/>
    <w:rsid w:val="00155CD7"/>
    <w:rsid w:val="00155E06"/>
    <w:rsid w:val="00157A04"/>
    <w:rsid w:val="00157C31"/>
    <w:rsid w:val="00157F53"/>
    <w:rsid w:val="0016093F"/>
    <w:rsid w:val="00160E43"/>
    <w:rsid w:val="001640BE"/>
    <w:rsid w:val="001645ED"/>
    <w:rsid w:val="001651D5"/>
    <w:rsid w:val="00166C35"/>
    <w:rsid w:val="00167062"/>
    <w:rsid w:val="00167618"/>
    <w:rsid w:val="00167B9E"/>
    <w:rsid w:val="00170655"/>
    <w:rsid w:val="00170B82"/>
    <w:rsid w:val="00170BF9"/>
    <w:rsid w:val="001712FC"/>
    <w:rsid w:val="001737B6"/>
    <w:rsid w:val="00174362"/>
    <w:rsid w:val="00174503"/>
    <w:rsid w:val="001747DD"/>
    <w:rsid w:val="0017623F"/>
    <w:rsid w:val="00176554"/>
    <w:rsid w:val="00177BDB"/>
    <w:rsid w:val="001803B0"/>
    <w:rsid w:val="001803C7"/>
    <w:rsid w:val="00180722"/>
    <w:rsid w:val="0018072B"/>
    <w:rsid w:val="00180815"/>
    <w:rsid w:val="00180DBB"/>
    <w:rsid w:val="0018168F"/>
    <w:rsid w:val="001820C1"/>
    <w:rsid w:val="00182B7C"/>
    <w:rsid w:val="00184DA8"/>
    <w:rsid w:val="0018502E"/>
    <w:rsid w:val="00185102"/>
    <w:rsid w:val="00185537"/>
    <w:rsid w:val="00186CD7"/>
    <w:rsid w:val="00187173"/>
    <w:rsid w:val="0018784D"/>
    <w:rsid w:val="00190145"/>
    <w:rsid w:val="00190FA7"/>
    <w:rsid w:val="001913DF"/>
    <w:rsid w:val="0019144E"/>
    <w:rsid w:val="0019172E"/>
    <w:rsid w:val="00192578"/>
    <w:rsid w:val="00192C51"/>
    <w:rsid w:val="00193146"/>
    <w:rsid w:val="001936E6"/>
    <w:rsid w:val="0019415E"/>
    <w:rsid w:val="00195308"/>
    <w:rsid w:val="00195473"/>
    <w:rsid w:val="00195486"/>
    <w:rsid w:val="00196578"/>
    <w:rsid w:val="001965AB"/>
    <w:rsid w:val="0019695B"/>
    <w:rsid w:val="0019765B"/>
    <w:rsid w:val="001A0524"/>
    <w:rsid w:val="001A0CCA"/>
    <w:rsid w:val="001A0DB9"/>
    <w:rsid w:val="001A11F7"/>
    <w:rsid w:val="001A243E"/>
    <w:rsid w:val="001A252C"/>
    <w:rsid w:val="001A2532"/>
    <w:rsid w:val="001A26A6"/>
    <w:rsid w:val="001A2B68"/>
    <w:rsid w:val="001A3BC8"/>
    <w:rsid w:val="001A6274"/>
    <w:rsid w:val="001A628C"/>
    <w:rsid w:val="001A62C4"/>
    <w:rsid w:val="001A6BED"/>
    <w:rsid w:val="001A7074"/>
    <w:rsid w:val="001A72EF"/>
    <w:rsid w:val="001A797A"/>
    <w:rsid w:val="001B04E0"/>
    <w:rsid w:val="001B1009"/>
    <w:rsid w:val="001B1164"/>
    <w:rsid w:val="001B1511"/>
    <w:rsid w:val="001B1740"/>
    <w:rsid w:val="001B256A"/>
    <w:rsid w:val="001B2573"/>
    <w:rsid w:val="001B29D5"/>
    <w:rsid w:val="001B2D23"/>
    <w:rsid w:val="001B32C8"/>
    <w:rsid w:val="001B448A"/>
    <w:rsid w:val="001B661E"/>
    <w:rsid w:val="001B6700"/>
    <w:rsid w:val="001B7DC5"/>
    <w:rsid w:val="001C0233"/>
    <w:rsid w:val="001C024A"/>
    <w:rsid w:val="001C164D"/>
    <w:rsid w:val="001C1751"/>
    <w:rsid w:val="001C193D"/>
    <w:rsid w:val="001C24A0"/>
    <w:rsid w:val="001C26DB"/>
    <w:rsid w:val="001C4317"/>
    <w:rsid w:val="001C470A"/>
    <w:rsid w:val="001C53BC"/>
    <w:rsid w:val="001C5F86"/>
    <w:rsid w:val="001C7D25"/>
    <w:rsid w:val="001C7D2B"/>
    <w:rsid w:val="001D0C37"/>
    <w:rsid w:val="001D192D"/>
    <w:rsid w:val="001D1D55"/>
    <w:rsid w:val="001D2BCC"/>
    <w:rsid w:val="001D3B0C"/>
    <w:rsid w:val="001D3DB3"/>
    <w:rsid w:val="001D3FBC"/>
    <w:rsid w:val="001D6346"/>
    <w:rsid w:val="001E13EC"/>
    <w:rsid w:val="001E1661"/>
    <w:rsid w:val="001E167B"/>
    <w:rsid w:val="001E1CAB"/>
    <w:rsid w:val="001E1E94"/>
    <w:rsid w:val="001E3D73"/>
    <w:rsid w:val="001E4EA2"/>
    <w:rsid w:val="001E5D6E"/>
    <w:rsid w:val="001E695A"/>
    <w:rsid w:val="001E7771"/>
    <w:rsid w:val="001E7AEF"/>
    <w:rsid w:val="001F03B7"/>
    <w:rsid w:val="001F2D6E"/>
    <w:rsid w:val="001F342D"/>
    <w:rsid w:val="001F3AB8"/>
    <w:rsid w:val="001F4ACD"/>
    <w:rsid w:val="001F509D"/>
    <w:rsid w:val="001F5413"/>
    <w:rsid w:val="001F571B"/>
    <w:rsid w:val="001F5F55"/>
    <w:rsid w:val="001F62F3"/>
    <w:rsid w:val="001F7077"/>
    <w:rsid w:val="001F7126"/>
    <w:rsid w:val="001F7E9A"/>
    <w:rsid w:val="00200BA3"/>
    <w:rsid w:val="00200CA6"/>
    <w:rsid w:val="002019AD"/>
    <w:rsid w:val="00203198"/>
    <w:rsid w:val="002036BA"/>
    <w:rsid w:val="00204461"/>
    <w:rsid w:val="00206103"/>
    <w:rsid w:val="00206F53"/>
    <w:rsid w:val="0020734A"/>
    <w:rsid w:val="0020778F"/>
    <w:rsid w:val="002103B3"/>
    <w:rsid w:val="00212685"/>
    <w:rsid w:val="00212ABF"/>
    <w:rsid w:val="00213C4A"/>
    <w:rsid w:val="00214257"/>
    <w:rsid w:val="0021437F"/>
    <w:rsid w:val="00214C45"/>
    <w:rsid w:val="00215DA3"/>
    <w:rsid w:val="002167FA"/>
    <w:rsid w:val="00216B1D"/>
    <w:rsid w:val="002171F4"/>
    <w:rsid w:val="00217FC0"/>
    <w:rsid w:val="00220409"/>
    <w:rsid w:val="0022073A"/>
    <w:rsid w:val="00220D49"/>
    <w:rsid w:val="00221717"/>
    <w:rsid w:val="00221793"/>
    <w:rsid w:val="00221D95"/>
    <w:rsid w:val="002221F9"/>
    <w:rsid w:val="00223A7B"/>
    <w:rsid w:val="00223DB7"/>
    <w:rsid w:val="00223E5A"/>
    <w:rsid w:val="002254EE"/>
    <w:rsid w:val="00226EC1"/>
    <w:rsid w:val="00227A07"/>
    <w:rsid w:val="00227ABA"/>
    <w:rsid w:val="002304BA"/>
    <w:rsid w:val="0023092F"/>
    <w:rsid w:val="00231C6E"/>
    <w:rsid w:val="00232F4C"/>
    <w:rsid w:val="002331BA"/>
    <w:rsid w:val="002344DD"/>
    <w:rsid w:val="002349E3"/>
    <w:rsid w:val="00234C43"/>
    <w:rsid w:val="00234E1D"/>
    <w:rsid w:val="002351D9"/>
    <w:rsid w:val="002352CD"/>
    <w:rsid w:val="00235421"/>
    <w:rsid w:val="002366F9"/>
    <w:rsid w:val="00236854"/>
    <w:rsid w:val="00236FBB"/>
    <w:rsid w:val="00240081"/>
    <w:rsid w:val="0024030C"/>
    <w:rsid w:val="00240F4E"/>
    <w:rsid w:val="00242EBE"/>
    <w:rsid w:val="00243112"/>
    <w:rsid w:val="00243573"/>
    <w:rsid w:val="002445C4"/>
    <w:rsid w:val="0024641F"/>
    <w:rsid w:val="00246D10"/>
    <w:rsid w:val="00246D1C"/>
    <w:rsid w:val="00251317"/>
    <w:rsid w:val="00252571"/>
    <w:rsid w:val="00253B21"/>
    <w:rsid w:val="00254228"/>
    <w:rsid w:val="00254907"/>
    <w:rsid w:val="00255E01"/>
    <w:rsid w:val="002564BF"/>
    <w:rsid w:val="002565C7"/>
    <w:rsid w:val="002568D1"/>
    <w:rsid w:val="0025694E"/>
    <w:rsid w:val="00257620"/>
    <w:rsid w:val="0025792A"/>
    <w:rsid w:val="002612A6"/>
    <w:rsid w:val="002647F0"/>
    <w:rsid w:val="002652E5"/>
    <w:rsid w:val="002658F5"/>
    <w:rsid w:val="0026630C"/>
    <w:rsid w:val="00270699"/>
    <w:rsid w:val="002708DB"/>
    <w:rsid w:val="0027095A"/>
    <w:rsid w:val="002715B5"/>
    <w:rsid w:val="0027176D"/>
    <w:rsid w:val="00271A17"/>
    <w:rsid w:val="00272054"/>
    <w:rsid w:val="002728AD"/>
    <w:rsid w:val="00273972"/>
    <w:rsid w:val="00273E1E"/>
    <w:rsid w:val="00273F50"/>
    <w:rsid w:val="0027448E"/>
    <w:rsid w:val="0027470A"/>
    <w:rsid w:val="00274B74"/>
    <w:rsid w:val="00274C3A"/>
    <w:rsid w:val="00274DF1"/>
    <w:rsid w:val="002760DF"/>
    <w:rsid w:val="00276985"/>
    <w:rsid w:val="00276A2C"/>
    <w:rsid w:val="00277DFC"/>
    <w:rsid w:val="00281936"/>
    <w:rsid w:val="00281D9B"/>
    <w:rsid w:val="00282173"/>
    <w:rsid w:val="00282401"/>
    <w:rsid w:val="00282BCC"/>
    <w:rsid w:val="00282E55"/>
    <w:rsid w:val="00283171"/>
    <w:rsid w:val="0028435F"/>
    <w:rsid w:val="0028498F"/>
    <w:rsid w:val="00284A8B"/>
    <w:rsid w:val="00285DE7"/>
    <w:rsid w:val="00286127"/>
    <w:rsid w:val="00287E72"/>
    <w:rsid w:val="00290203"/>
    <w:rsid w:val="00290549"/>
    <w:rsid w:val="0029060E"/>
    <w:rsid w:val="002906F5"/>
    <w:rsid w:val="00291A1A"/>
    <w:rsid w:val="002921CC"/>
    <w:rsid w:val="002928DC"/>
    <w:rsid w:val="00293455"/>
    <w:rsid w:val="00293CCD"/>
    <w:rsid w:val="00294351"/>
    <w:rsid w:val="0029463F"/>
    <w:rsid w:val="00294B95"/>
    <w:rsid w:val="00294D74"/>
    <w:rsid w:val="00295D71"/>
    <w:rsid w:val="00296A4E"/>
    <w:rsid w:val="00296AA4"/>
    <w:rsid w:val="002971F8"/>
    <w:rsid w:val="00297615"/>
    <w:rsid w:val="00297BA9"/>
    <w:rsid w:val="002A0279"/>
    <w:rsid w:val="002A06FC"/>
    <w:rsid w:val="002A287B"/>
    <w:rsid w:val="002A2B1A"/>
    <w:rsid w:val="002A2D49"/>
    <w:rsid w:val="002A400F"/>
    <w:rsid w:val="002A4CF4"/>
    <w:rsid w:val="002A5655"/>
    <w:rsid w:val="002A627C"/>
    <w:rsid w:val="002A636A"/>
    <w:rsid w:val="002A68BB"/>
    <w:rsid w:val="002A76CD"/>
    <w:rsid w:val="002B0AAE"/>
    <w:rsid w:val="002B16F2"/>
    <w:rsid w:val="002B28D7"/>
    <w:rsid w:val="002B2C5A"/>
    <w:rsid w:val="002B2E2B"/>
    <w:rsid w:val="002B3A40"/>
    <w:rsid w:val="002B409C"/>
    <w:rsid w:val="002B46CE"/>
    <w:rsid w:val="002B480C"/>
    <w:rsid w:val="002B4965"/>
    <w:rsid w:val="002B4987"/>
    <w:rsid w:val="002B503B"/>
    <w:rsid w:val="002B5CB4"/>
    <w:rsid w:val="002C008E"/>
    <w:rsid w:val="002C1186"/>
    <w:rsid w:val="002C32C9"/>
    <w:rsid w:val="002C3F2D"/>
    <w:rsid w:val="002C65C8"/>
    <w:rsid w:val="002C666A"/>
    <w:rsid w:val="002C6ACF"/>
    <w:rsid w:val="002C7BB5"/>
    <w:rsid w:val="002D035F"/>
    <w:rsid w:val="002D05D5"/>
    <w:rsid w:val="002D05F9"/>
    <w:rsid w:val="002D0F26"/>
    <w:rsid w:val="002D1473"/>
    <w:rsid w:val="002D1EB6"/>
    <w:rsid w:val="002D2C50"/>
    <w:rsid w:val="002D303D"/>
    <w:rsid w:val="002D3694"/>
    <w:rsid w:val="002D4A9E"/>
    <w:rsid w:val="002D4B00"/>
    <w:rsid w:val="002E06A6"/>
    <w:rsid w:val="002E0966"/>
    <w:rsid w:val="002E1B4B"/>
    <w:rsid w:val="002E1CCB"/>
    <w:rsid w:val="002E1FB1"/>
    <w:rsid w:val="002E20EB"/>
    <w:rsid w:val="002E236E"/>
    <w:rsid w:val="002E3279"/>
    <w:rsid w:val="002E4785"/>
    <w:rsid w:val="002E4FF8"/>
    <w:rsid w:val="002E5CE5"/>
    <w:rsid w:val="002E5EC2"/>
    <w:rsid w:val="002E664B"/>
    <w:rsid w:val="002E71B3"/>
    <w:rsid w:val="002E789E"/>
    <w:rsid w:val="002E7CE2"/>
    <w:rsid w:val="002F063F"/>
    <w:rsid w:val="002F0F5B"/>
    <w:rsid w:val="002F19EA"/>
    <w:rsid w:val="002F3324"/>
    <w:rsid w:val="002F42FE"/>
    <w:rsid w:val="002F4368"/>
    <w:rsid w:val="002F4F08"/>
    <w:rsid w:val="002F4F60"/>
    <w:rsid w:val="002F5341"/>
    <w:rsid w:val="002F5ED1"/>
    <w:rsid w:val="002F5F80"/>
    <w:rsid w:val="002F60FD"/>
    <w:rsid w:val="002F634C"/>
    <w:rsid w:val="002F7AE7"/>
    <w:rsid w:val="002F7B73"/>
    <w:rsid w:val="00300027"/>
    <w:rsid w:val="0030074F"/>
    <w:rsid w:val="00300FC3"/>
    <w:rsid w:val="003016B9"/>
    <w:rsid w:val="00301A23"/>
    <w:rsid w:val="00302975"/>
    <w:rsid w:val="0030372B"/>
    <w:rsid w:val="00303984"/>
    <w:rsid w:val="00305398"/>
    <w:rsid w:val="00305B43"/>
    <w:rsid w:val="00306D2A"/>
    <w:rsid w:val="00307015"/>
    <w:rsid w:val="00307448"/>
    <w:rsid w:val="00310145"/>
    <w:rsid w:val="00311B12"/>
    <w:rsid w:val="00311C59"/>
    <w:rsid w:val="0031206B"/>
    <w:rsid w:val="003126A5"/>
    <w:rsid w:val="003134D5"/>
    <w:rsid w:val="003144EF"/>
    <w:rsid w:val="003146F1"/>
    <w:rsid w:val="00314896"/>
    <w:rsid w:val="00315260"/>
    <w:rsid w:val="00316D2C"/>
    <w:rsid w:val="00317CD0"/>
    <w:rsid w:val="00320E6A"/>
    <w:rsid w:val="003210B8"/>
    <w:rsid w:val="003224A6"/>
    <w:rsid w:val="00323318"/>
    <w:rsid w:val="003251E1"/>
    <w:rsid w:val="003259CE"/>
    <w:rsid w:val="00325E11"/>
    <w:rsid w:val="00326641"/>
    <w:rsid w:val="00326C69"/>
    <w:rsid w:val="00326DBC"/>
    <w:rsid w:val="003278FF"/>
    <w:rsid w:val="003314DB"/>
    <w:rsid w:val="00331894"/>
    <w:rsid w:val="00331D39"/>
    <w:rsid w:val="00333107"/>
    <w:rsid w:val="0033414F"/>
    <w:rsid w:val="003347B2"/>
    <w:rsid w:val="00334EB2"/>
    <w:rsid w:val="00335B7E"/>
    <w:rsid w:val="003368B5"/>
    <w:rsid w:val="00337A7D"/>
    <w:rsid w:val="00340C3B"/>
    <w:rsid w:val="00341449"/>
    <w:rsid w:val="00341B60"/>
    <w:rsid w:val="00342090"/>
    <w:rsid w:val="0034227B"/>
    <w:rsid w:val="003427E7"/>
    <w:rsid w:val="00343078"/>
    <w:rsid w:val="00343C3E"/>
    <w:rsid w:val="00343F91"/>
    <w:rsid w:val="00345F97"/>
    <w:rsid w:val="00347F8B"/>
    <w:rsid w:val="0035039D"/>
    <w:rsid w:val="00351228"/>
    <w:rsid w:val="0035173F"/>
    <w:rsid w:val="00352D35"/>
    <w:rsid w:val="00352EA1"/>
    <w:rsid w:val="00354037"/>
    <w:rsid w:val="0035490A"/>
    <w:rsid w:val="00354D9F"/>
    <w:rsid w:val="00356116"/>
    <w:rsid w:val="003561B9"/>
    <w:rsid w:val="00356213"/>
    <w:rsid w:val="003566B3"/>
    <w:rsid w:val="0035712C"/>
    <w:rsid w:val="003576C4"/>
    <w:rsid w:val="0036017A"/>
    <w:rsid w:val="003608E0"/>
    <w:rsid w:val="00360F09"/>
    <w:rsid w:val="00361208"/>
    <w:rsid w:val="003619B0"/>
    <w:rsid w:val="00361CD6"/>
    <w:rsid w:val="003633CA"/>
    <w:rsid w:val="00364582"/>
    <w:rsid w:val="00365C8B"/>
    <w:rsid w:val="00365F0A"/>
    <w:rsid w:val="003663D8"/>
    <w:rsid w:val="00366721"/>
    <w:rsid w:val="00366C09"/>
    <w:rsid w:val="00366FCE"/>
    <w:rsid w:val="00367687"/>
    <w:rsid w:val="003677FF"/>
    <w:rsid w:val="00370BA3"/>
    <w:rsid w:val="0037171D"/>
    <w:rsid w:val="003719C0"/>
    <w:rsid w:val="00372EF8"/>
    <w:rsid w:val="003731A7"/>
    <w:rsid w:val="003731A8"/>
    <w:rsid w:val="0037468F"/>
    <w:rsid w:val="00374842"/>
    <w:rsid w:val="00375D0D"/>
    <w:rsid w:val="00380A52"/>
    <w:rsid w:val="00381429"/>
    <w:rsid w:val="003815E7"/>
    <w:rsid w:val="00381652"/>
    <w:rsid w:val="0038172C"/>
    <w:rsid w:val="00381C1F"/>
    <w:rsid w:val="00382D81"/>
    <w:rsid w:val="00382DBB"/>
    <w:rsid w:val="00384966"/>
    <w:rsid w:val="00385E9C"/>
    <w:rsid w:val="00386AF0"/>
    <w:rsid w:val="00386B7E"/>
    <w:rsid w:val="00387299"/>
    <w:rsid w:val="00387FB0"/>
    <w:rsid w:val="003902CF"/>
    <w:rsid w:val="0039119B"/>
    <w:rsid w:val="0039189F"/>
    <w:rsid w:val="003922D9"/>
    <w:rsid w:val="00394235"/>
    <w:rsid w:val="00394CC8"/>
    <w:rsid w:val="00395853"/>
    <w:rsid w:val="00396A85"/>
    <w:rsid w:val="0039701F"/>
    <w:rsid w:val="003A0C6D"/>
    <w:rsid w:val="003A1636"/>
    <w:rsid w:val="003A1C77"/>
    <w:rsid w:val="003A2325"/>
    <w:rsid w:val="003A2868"/>
    <w:rsid w:val="003A2ABC"/>
    <w:rsid w:val="003A37AD"/>
    <w:rsid w:val="003A3C9C"/>
    <w:rsid w:val="003A3DF5"/>
    <w:rsid w:val="003A49F9"/>
    <w:rsid w:val="003A4E1D"/>
    <w:rsid w:val="003A718F"/>
    <w:rsid w:val="003A73BF"/>
    <w:rsid w:val="003B0D49"/>
    <w:rsid w:val="003B150A"/>
    <w:rsid w:val="003B21E2"/>
    <w:rsid w:val="003B22A1"/>
    <w:rsid w:val="003B2536"/>
    <w:rsid w:val="003B2638"/>
    <w:rsid w:val="003B2EEE"/>
    <w:rsid w:val="003B34B3"/>
    <w:rsid w:val="003B3748"/>
    <w:rsid w:val="003B592D"/>
    <w:rsid w:val="003B6661"/>
    <w:rsid w:val="003B69D3"/>
    <w:rsid w:val="003B70A2"/>
    <w:rsid w:val="003B78BF"/>
    <w:rsid w:val="003C09A3"/>
    <w:rsid w:val="003C1064"/>
    <w:rsid w:val="003C251D"/>
    <w:rsid w:val="003C2C9F"/>
    <w:rsid w:val="003C2E87"/>
    <w:rsid w:val="003C3129"/>
    <w:rsid w:val="003C3597"/>
    <w:rsid w:val="003C458A"/>
    <w:rsid w:val="003C4E6B"/>
    <w:rsid w:val="003D0003"/>
    <w:rsid w:val="003D0436"/>
    <w:rsid w:val="003D0A9A"/>
    <w:rsid w:val="003D0D1D"/>
    <w:rsid w:val="003D0D34"/>
    <w:rsid w:val="003D0FD6"/>
    <w:rsid w:val="003D1D76"/>
    <w:rsid w:val="003D2A73"/>
    <w:rsid w:val="003D2BEC"/>
    <w:rsid w:val="003D32AA"/>
    <w:rsid w:val="003D32C9"/>
    <w:rsid w:val="003D38E5"/>
    <w:rsid w:val="003D46DA"/>
    <w:rsid w:val="003D61C2"/>
    <w:rsid w:val="003D63C4"/>
    <w:rsid w:val="003D6DE1"/>
    <w:rsid w:val="003D78E5"/>
    <w:rsid w:val="003D7927"/>
    <w:rsid w:val="003D7A75"/>
    <w:rsid w:val="003D7B50"/>
    <w:rsid w:val="003E0316"/>
    <w:rsid w:val="003E0A55"/>
    <w:rsid w:val="003E1F09"/>
    <w:rsid w:val="003E286F"/>
    <w:rsid w:val="003E3ECE"/>
    <w:rsid w:val="003E4296"/>
    <w:rsid w:val="003E46A1"/>
    <w:rsid w:val="003E474E"/>
    <w:rsid w:val="003E59E0"/>
    <w:rsid w:val="003E5BA7"/>
    <w:rsid w:val="003E6259"/>
    <w:rsid w:val="003E6E75"/>
    <w:rsid w:val="003F0390"/>
    <w:rsid w:val="003F1034"/>
    <w:rsid w:val="003F177E"/>
    <w:rsid w:val="003F2734"/>
    <w:rsid w:val="003F3C44"/>
    <w:rsid w:val="003F5DC3"/>
    <w:rsid w:val="003F6027"/>
    <w:rsid w:val="003F60D0"/>
    <w:rsid w:val="003F6889"/>
    <w:rsid w:val="003F6A61"/>
    <w:rsid w:val="003F6E44"/>
    <w:rsid w:val="0040094C"/>
    <w:rsid w:val="00402197"/>
    <w:rsid w:val="00402302"/>
    <w:rsid w:val="00402790"/>
    <w:rsid w:val="0040308B"/>
    <w:rsid w:val="004030B1"/>
    <w:rsid w:val="00403899"/>
    <w:rsid w:val="004049DA"/>
    <w:rsid w:val="0040519B"/>
    <w:rsid w:val="0040594A"/>
    <w:rsid w:val="00405A2D"/>
    <w:rsid w:val="00406A93"/>
    <w:rsid w:val="00407048"/>
    <w:rsid w:val="00407354"/>
    <w:rsid w:val="004118BD"/>
    <w:rsid w:val="00411B4F"/>
    <w:rsid w:val="0041272F"/>
    <w:rsid w:val="00412980"/>
    <w:rsid w:val="004129DF"/>
    <w:rsid w:val="00413307"/>
    <w:rsid w:val="004136C1"/>
    <w:rsid w:val="004139A8"/>
    <w:rsid w:val="00413BBA"/>
    <w:rsid w:val="00414071"/>
    <w:rsid w:val="00414383"/>
    <w:rsid w:val="004143F2"/>
    <w:rsid w:val="0041533D"/>
    <w:rsid w:val="00420479"/>
    <w:rsid w:val="00420DDE"/>
    <w:rsid w:val="00421011"/>
    <w:rsid w:val="00421BB5"/>
    <w:rsid w:val="00421D5B"/>
    <w:rsid w:val="0042225E"/>
    <w:rsid w:val="004227D1"/>
    <w:rsid w:val="00422D1F"/>
    <w:rsid w:val="004241A2"/>
    <w:rsid w:val="00424640"/>
    <w:rsid w:val="00424ED8"/>
    <w:rsid w:val="00425216"/>
    <w:rsid w:val="0042623B"/>
    <w:rsid w:val="00427C78"/>
    <w:rsid w:val="0043055C"/>
    <w:rsid w:val="00431BAE"/>
    <w:rsid w:val="00431C80"/>
    <w:rsid w:val="00431F6A"/>
    <w:rsid w:val="0043243F"/>
    <w:rsid w:val="004333BC"/>
    <w:rsid w:val="00434A40"/>
    <w:rsid w:val="00434D2F"/>
    <w:rsid w:val="00435278"/>
    <w:rsid w:val="004354EA"/>
    <w:rsid w:val="00435A08"/>
    <w:rsid w:val="00436327"/>
    <w:rsid w:val="004364F7"/>
    <w:rsid w:val="0043752A"/>
    <w:rsid w:val="00442492"/>
    <w:rsid w:val="0044269C"/>
    <w:rsid w:val="00442B6D"/>
    <w:rsid w:val="00442BDE"/>
    <w:rsid w:val="004439AF"/>
    <w:rsid w:val="0044523B"/>
    <w:rsid w:val="0044551F"/>
    <w:rsid w:val="00445BF8"/>
    <w:rsid w:val="00445D92"/>
    <w:rsid w:val="004473BE"/>
    <w:rsid w:val="00447F9A"/>
    <w:rsid w:val="00450594"/>
    <w:rsid w:val="00451469"/>
    <w:rsid w:val="004524BF"/>
    <w:rsid w:val="004539EC"/>
    <w:rsid w:val="00453FA8"/>
    <w:rsid w:val="00454824"/>
    <w:rsid w:val="00456069"/>
    <w:rsid w:val="00456FC7"/>
    <w:rsid w:val="00457372"/>
    <w:rsid w:val="004576DA"/>
    <w:rsid w:val="0045777F"/>
    <w:rsid w:val="00457EF7"/>
    <w:rsid w:val="004600CE"/>
    <w:rsid w:val="004606BF"/>
    <w:rsid w:val="00460FAC"/>
    <w:rsid w:val="00461173"/>
    <w:rsid w:val="00461CE0"/>
    <w:rsid w:val="004637EE"/>
    <w:rsid w:val="00463913"/>
    <w:rsid w:val="00463E14"/>
    <w:rsid w:val="004662A2"/>
    <w:rsid w:val="004676C7"/>
    <w:rsid w:val="00467B3A"/>
    <w:rsid w:val="00470DE0"/>
    <w:rsid w:val="004717F3"/>
    <w:rsid w:val="00471F03"/>
    <w:rsid w:val="0047342E"/>
    <w:rsid w:val="00473692"/>
    <w:rsid w:val="00473E20"/>
    <w:rsid w:val="004753EF"/>
    <w:rsid w:val="00475B06"/>
    <w:rsid w:val="00476092"/>
    <w:rsid w:val="004762C0"/>
    <w:rsid w:val="004763DF"/>
    <w:rsid w:val="00476502"/>
    <w:rsid w:val="00476556"/>
    <w:rsid w:val="00476625"/>
    <w:rsid w:val="004770CC"/>
    <w:rsid w:val="00477D1A"/>
    <w:rsid w:val="00477FB4"/>
    <w:rsid w:val="00480AD3"/>
    <w:rsid w:val="00480D16"/>
    <w:rsid w:val="00481FDA"/>
    <w:rsid w:val="00482FDB"/>
    <w:rsid w:val="00484C39"/>
    <w:rsid w:val="00484E04"/>
    <w:rsid w:val="00485B87"/>
    <w:rsid w:val="00486160"/>
    <w:rsid w:val="004862E3"/>
    <w:rsid w:val="004864A2"/>
    <w:rsid w:val="00487309"/>
    <w:rsid w:val="00487A11"/>
    <w:rsid w:val="00490B2E"/>
    <w:rsid w:val="00490DD0"/>
    <w:rsid w:val="004916A7"/>
    <w:rsid w:val="00491F97"/>
    <w:rsid w:val="00492373"/>
    <w:rsid w:val="004923CC"/>
    <w:rsid w:val="0049401C"/>
    <w:rsid w:val="004943FD"/>
    <w:rsid w:val="00494585"/>
    <w:rsid w:val="00494F3A"/>
    <w:rsid w:val="004959F2"/>
    <w:rsid w:val="0049729F"/>
    <w:rsid w:val="00497838"/>
    <w:rsid w:val="00497AE1"/>
    <w:rsid w:val="00497DC9"/>
    <w:rsid w:val="004A04FB"/>
    <w:rsid w:val="004A082A"/>
    <w:rsid w:val="004A0DC1"/>
    <w:rsid w:val="004A21D0"/>
    <w:rsid w:val="004A2397"/>
    <w:rsid w:val="004A75A1"/>
    <w:rsid w:val="004A75A8"/>
    <w:rsid w:val="004A7C7C"/>
    <w:rsid w:val="004B017C"/>
    <w:rsid w:val="004B1C03"/>
    <w:rsid w:val="004B254F"/>
    <w:rsid w:val="004B44BE"/>
    <w:rsid w:val="004B4CC3"/>
    <w:rsid w:val="004B4D0E"/>
    <w:rsid w:val="004B56E9"/>
    <w:rsid w:val="004B5AC9"/>
    <w:rsid w:val="004B6613"/>
    <w:rsid w:val="004B6ECD"/>
    <w:rsid w:val="004B6FB2"/>
    <w:rsid w:val="004B7353"/>
    <w:rsid w:val="004B79EB"/>
    <w:rsid w:val="004B7CCA"/>
    <w:rsid w:val="004B7E0A"/>
    <w:rsid w:val="004C225B"/>
    <w:rsid w:val="004C2487"/>
    <w:rsid w:val="004C3447"/>
    <w:rsid w:val="004C405F"/>
    <w:rsid w:val="004C412B"/>
    <w:rsid w:val="004C4543"/>
    <w:rsid w:val="004C461B"/>
    <w:rsid w:val="004C60BD"/>
    <w:rsid w:val="004C61CD"/>
    <w:rsid w:val="004C6BC6"/>
    <w:rsid w:val="004C70E2"/>
    <w:rsid w:val="004C7C9B"/>
    <w:rsid w:val="004D0EB1"/>
    <w:rsid w:val="004D1582"/>
    <w:rsid w:val="004D19EA"/>
    <w:rsid w:val="004D1A5F"/>
    <w:rsid w:val="004D2EA7"/>
    <w:rsid w:val="004D2F6A"/>
    <w:rsid w:val="004D3204"/>
    <w:rsid w:val="004D3412"/>
    <w:rsid w:val="004D368C"/>
    <w:rsid w:val="004D3972"/>
    <w:rsid w:val="004D3AFD"/>
    <w:rsid w:val="004D4B0C"/>
    <w:rsid w:val="004D51B4"/>
    <w:rsid w:val="004D567C"/>
    <w:rsid w:val="004D58EB"/>
    <w:rsid w:val="004D6731"/>
    <w:rsid w:val="004D6D4C"/>
    <w:rsid w:val="004E09ED"/>
    <w:rsid w:val="004E18C6"/>
    <w:rsid w:val="004E3725"/>
    <w:rsid w:val="004E3BD8"/>
    <w:rsid w:val="004E3EE2"/>
    <w:rsid w:val="004E40D6"/>
    <w:rsid w:val="004E44D3"/>
    <w:rsid w:val="004E5764"/>
    <w:rsid w:val="004E59FB"/>
    <w:rsid w:val="004E7923"/>
    <w:rsid w:val="004F1383"/>
    <w:rsid w:val="004F23F9"/>
    <w:rsid w:val="004F2B16"/>
    <w:rsid w:val="004F3336"/>
    <w:rsid w:val="004F35BA"/>
    <w:rsid w:val="004F3679"/>
    <w:rsid w:val="004F3CE3"/>
    <w:rsid w:val="004F4EE1"/>
    <w:rsid w:val="004F57E6"/>
    <w:rsid w:val="004F5D88"/>
    <w:rsid w:val="004F5EB6"/>
    <w:rsid w:val="004F6011"/>
    <w:rsid w:val="004F6E9A"/>
    <w:rsid w:val="004F743B"/>
    <w:rsid w:val="004F76EA"/>
    <w:rsid w:val="004F79ED"/>
    <w:rsid w:val="004F7F0F"/>
    <w:rsid w:val="00500836"/>
    <w:rsid w:val="00500990"/>
    <w:rsid w:val="005009F5"/>
    <w:rsid w:val="00500F27"/>
    <w:rsid w:val="005017E4"/>
    <w:rsid w:val="00503A51"/>
    <w:rsid w:val="00503C23"/>
    <w:rsid w:val="00504B37"/>
    <w:rsid w:val="00505603"/>
    <w:rsid w:val="00505E5F"/>
    <w:rsid w:val="00506474"/>
    <w:rsid w:val="00506B94"/>
    <w:rsid w:val="00506F03"/>
    <w:rsid w:val="00507FCC"/>
    <w:rsid w:val="0051068E"/>
    <w:rsid w:val="00511EE0"/>
    <w:rsid w:val="0051229A"/>
    <w:rsid w:val="00512622"/>
    <w:rsid w:val="00512A46"/>
    <w:rsid w:val="00512E8D"/>
    <w:rsid w:val="0051387A"/>
    <w:rsid w:val="0051453E"/>
    <w:rsid w:val="00515479"/>
    <w:rsid w:val="005156A4"/>
    <w:rsid w:val="00515945"/>
    <w:rsid w:val="00515D55"/>
    <w:rsid w:val="005160BC"/>
    <w:rsid w:val="00516D9E"/>
    <w:rsid w:val="00516E28"/>
    <w:rsid w:val="00516F98"/>
    <w:rsid w:val="0051776A"/>
    <w:rsid w:val="00521F2D"/>
    <w:rsid w:val="005241A6"/>
    <w:rsid w:val="0052726E"/>
    <w:rsid w:val="00527CAB"/>
    <w:rsid w:val="00527EBA"/>
    <w:rsid w:val="00530336"/>
    <w:rsid w:val="005303E3"/>
    <w:rsid w:val="005317D4"/>
    <w:rsid w:val="0053244A"/>
    <w:rsid w:val="00535059"/>
    <w:rsid w:val="0053584E"/>
    <w:rsid w:val="00535935"/>
    <w:rsid w:val="00536440"/>
    <w:rsid w:val="00536450"/>
    <w:rsid w:val="0053653F"/>
    <w:rsid w:val="0053659E"/>
    <w:rsid w:val="00537700"/>
    <w:rsid w:val="00537D27"/>
    <w:rsid w:val="0054021F"/>
    <w:rsid w:val="00540285"/>
    <w:rsid w:val="00541CBF"/>
    <w:rsid w:val="00541D11"/>
    <w:rsid w:val="0054245A"/>
    <w:rsid w:val="00543606"/>
    <w:rsid w:val="00544206"/>
    <w:rsid w:val="0054567C"/>
    <w:rsid w:val="005457DB"/>
    <w:rsid w:val="00545E25"/>
    <w:rsid w:val="00546810"/>
    <w:rsid w:val="005479DF"/>
    <w:rsid w:val="005512BF"/>
    <w:rsid w:val="00551652"/>
    <w:rsid w:val="00551CCB"/>
    <w:rsid w:val="00552019"/>
    <w:rsid w:val="005525AA"/>
    <w:rsid w:val="00552AA0"/>
    <w:rsid w:val="00552E3F"/>
    <w:rsid w:val="00553C21"/>
    <w:rsid w:val="00553D5D"/>
    <w:rsid w:val="00553F48"/>
    <w:rsid w:val="0055408F"/>
    <w:rsid w:val="00554444"/>
    <w:rsid w:val="005549DC"/>
    <w:rsid w:val="00554DF9"/>
    <w:rsid w:val="005553AD"/>
    <w:rsid w:val="00555733"/>
    <w:rsid w:val="00556424"/>
    <w:rsid w:val="005564F1"/>
    <w:rsid w:val="00556948"/>
    <w:rsid w:val="00556A19"/>
    <w:rsid w:val="005579D2"/>
    <w:rsid w:val="0056017F"/>
    <w:rsid w:val="00560468"/>
    <w:rsid w:val="005615F1"/>
    <w:rsid w:val="00562F56"/>
    <w:rsid w:val="00562F61"/>
    <w:rsid w:val="00562FCE"/>
    <w:rsid w:val="005634BD"/>
    <w:rsid w:val="00564190"/>
    <w:rsid w:val="0056466B"/>
    <w:rsid w:val="00564A77"/>
    <w:rsid w:val="00565147"/>
    <w:rsid w:val="005657A3"/>
    <w:rsid w:val="00565A28"/>
    <w:rsid w:val="00565DF4"/>
    <w:rsid w:val="00565E27"/>
    <w:rsid w:val="00566F92"/>
    <w:rsid w:val="005677B6"/>
    <w:rsid w:val="005677D7"/>
    <w:rsid w:val="005678ED"/>
    <w:rsid w:val="00570253"/>
    <w:rsid w:val="005706E4"/>
    <w:rsid w:val="00570807"/>
    <w:rsid w:val="00571061"/>
    <w:rsid w:val="00571155"/>
    <w:rsid w:val="0057173F"/>
    <w:rsid w:val="00571CE3"/>
    <w:rsid w:val="005732B0"/>
    <w:rsid w:val="00573E02"/>
    <w:rsid w:val="00574020"/>
    <w:rsid w:val="0057408E"/>
    <w:rsid w:val="00574AF4"/>
    <w:rsid w:val="00574BAE"/>
    <w:rsid w:val="00574CDE"/>
    <w:rsid w:val="00575D34"/>
    <w:rsid w:val="00575D78"/>
    <w:rsid w:val="005765B9"/>
    <w:rsid w:val="005773C6"/>
    <w:rsid w:val="00577E0B"/>
    <w:rsid w:val="00580F65"/>
    <w:rsid w:val="0058137A"/>
    <w:rsid w:val="00581687"/>
    <w:rsid w:val="00581996"/>
    <w:rsid w:val="00581C38"/>
    <w:rsid w:val="00581F63"/>
    <w:rsid w:val="00582887"/>
    <w:rsid w:val="00582F1D"/>
    <w:rsid w:val="005832E5"/>
    <w:rsid w:val="00583BA0"/>
    <w:rsid w:val="005845DB"/>
    <w:rsid w:val="0058594C"/>
    <w:rsid w:val="0058663A"/>
    <w:rsid w:val="00586837"/>
    <w:rsid w:val="00586C44"/>
    <w:rsid w:val="00586E03"/>
    <w:rsid w:val="0059002B"/>
    <w:rsid w:val="00591652"/>
    <w:rsid w:val="00591737"/>
    <w:rsid w:val="00591800"/>
    <w:rsid w:val="00591814"/>
    <w:rsid w:val="0059230A"/>
    <w:rsid w:val="005933AE"/>
    <w:rsid w:val="0059346D"/>
    <w:rsid w:val="00594BAC"/>
    <w:rsid w:val="00594D61"/>
    <w:rsid w:val="005954D4"/>
    <w:rsid w:val="00595DBD"/>
    <w:rsid w:val="00596EEC"/>
    <w:rsid w:val="005A0371"/>
    <w:rsid w:val="005A264F"/>
    <w:rsid w:val="005A276A"/>
    <w:rsid w:val="005A3816"/>
    <w:rsid w:val="005A39EB"/>
    <w:rsid w:val="005A5136"/>
    <w:rsid w:val="005A57F1"/>
    <w:rsid w:val="005A6643"/>
    <w:rsid w:val="005A6D44"/>
    <w:rsid w:val="005B0DD8"/>
    <w:rsid w:val="005B1054"/>
    <w:rsid w:val="005B1224"/>
    <w:rsid w:val="005B1278"/>
    <w:rsid w:val="005B1B6C"/>
    <w:rsid w:val="005B2A98"/>
    <w:rsid w:val="005B2AD7"/>
    <w:rsid w:val="005B2D77"/>
    <w:rsid w:val="005B2DE1"/>
    <w:rsid w:val="005B2E21"/>
    <w:rsid w:val="005B39AE"/>
    <w:rsid w:val="005B4ED3"/>
    <w:rsid w:val="005B5663"/>
    <w:rsid w:val="005B65D7"/>
    <w:rsid w:val="005B6780"/>
    <w:rsid w:val="005B7088"/>
    <w:rsid w:val="005B74EF"/>
    <w:rsid w:val="005C0014"/>
    <w:rsid w:val="005C0086"/>
    <w:rsid w:val="005C13FA"/>
    <w:rsid w:val="005C142D"/>
    <w:rsid w:val="005C1934"/>
    <w:rsid w:val="005C1981"/>
    <w:rsid w:val="005C2EBD"/>
    <w:rsid w:val="005C452F"/>
    <w:rsid w:val="005C58A3"/>
    <w:rsid w:val="005C6FDB"/>
    <w:rsid w:val="005C7114"/>
    <w:rsid w:val="005D03BD"/>
    <w:rsid w:val="005D0DBD"/>
    <w:rsid w:val="005D34FC"/>
    <w:rsid w:val="005D3B5C"/>
    <w:rsid w:val="005D3CF1"/>
    <w:rsid w:val="005D407D"/>
    <w:rsid w:val="005D46EF"/>
    <w:rsid w:val="005D5946"/>
    <w:rsid w:val="005D5F27"/>
    <w:rsid w:val="005D6B40"/>
    <w:rsid w:val="005D6C93"/>
    <w:rsid w:val="005D7427"/>
    <w:rsid w:val="005D77FF"/>
    <w:rsid w:val="005E042D"/>
    <w:rsid w:val="005E1B5C"/>
    <w:rsid w:val="005E2EB4"/>
    <w:rsid w:val="005E30BF"/>
    <w:rsid w:val="005E393B"/>
    <w:rsid w:val="005E4026"/>
    <w:rsid w:val="005E40ED"/>
    <w:rsid w:val="005E4522"/>
    <w:rsid w:val="005E65DC"/>
    <w:rsid w:val="005E6E21"/>
    <w:rsid w:val="005E6E99"/>
    <w:rsid w:val="005E781B"/>
    <w:rsid w:val="005E7CC9"/>
    <w:rsid w:val="005E7F67"/>
    <w:rsid w:val="005F188F"/>
    <w:rsid w:val="005F22D9"/>
    <w:rsid w:val="005F24F8"/>
    <w:rsid w:val="005F2825"/>
    <w:rsid w:val="005F2BB4"/>
    <w:rsid w:val="005F3092"/>
    <w:rsid w:val="005F31F5"/>
    <w:rsid w:val="005F34DF"/>
    <w:rsid w:val="005F3642"/>
    <w:rsid w:val="005F36D5"/>
    <w:rsid w:val="005F4D4F"/>
    <w:rsid w:val="005F5092"/>
    <w:rsid w:val="005F603A"/>
    <w:rsid w:val="005F7185"/>
    <w:rsid w:val="00600A1D"/>
    <w:rsid w:val="00601079"/>
    <w:rsid w:val="00602861"/>
    <w:rsid w:val="00603E29"/>
    <w:rsid w:val="00604337"/>
    <w:rsid w:val="006047D7"/>
    <w:rsid w:val="00605081"/>
    <w:rsid w:val="00605ABC"/>
    <w:rsid w:val="00605D3A"/>
    <w:rsid w:val="00605F83"/>
    <w:rsid w:val="0060641F"/>
    <w:rsid w:val="00606502"/>
    <w:rsid w:val="00606DD3"/>
    <w:rsid w:val="006078E8"/>
    <w:rsid w:val="006079C8"/>
    <w:rsid w:val="00607C0F"/>
    <w:rsid w:val="00610B61"/>
    <w:rsid w:val="006116B7"/>
    <w:rsid w:val="00613E6C"/>
    <w:rsid w:val="00615266"/>
    <w:rsid w:val="006157D8"/>
    <w:rsid w:val="00615C97"/>
    <w:rsid w:val="00616DCD"/>
    <w:rsid w:val="00620587"/>
    <w:rsid w:val="00620910"/>
    <w:rsid w:val="00620CA9"/>
    <w:rsid w:val="00621AEE"/>
    <w:rsid w:val="00621DFC"/>
    <w:rsid w:val="00622262"/>
    <w:rsid w:val="00622722"/>
    <w:rsid w:val="00622943"/>
    <w:rsid w:val="00622D5C"/>
    <w:rsid w:val="00622DFC"/>
    <w:rsid w:val="0062305C"/>
    <w:rsid w:val="006236C8"/>
    <w:rsid w:val="0062397F"/>
    <w:rsid w:val="00623B41"/>
    <w:rsid w:val="006240F8"/>
    <w:rsid w:val="00625103"/>
    <w:rsid w:val="006252E5"/>
    <w:rsid w:val="00626758"/>
    <w:rsid w:val="00626E98"/>
    <w:rsid w:val="006270A3"/>
    <w:rsid w:val="00627106"/>
    <w:rsid w:val="00627205"/>
    <w:rsid w:val="00627ABA"/>
    <w:rsid w:val="00627C44"/>
    <w:rsid w:val="0063020A"/>
    <w:rsid w:val="006309E8"/>
    <w:rsid w:val="0063139B"/>
    <w:rsid w:val="00631449"/>
    <w:rsid w:val="00631A5F"/>
    <w:rsid w:val="00632000"/>
    <w:rsid w:val="00632281"/>
    <w:rsid w:val="00632408"/>
    <w:rsid w:val="00632EE3"/>
    <w:rsid w:val="00632F51"/>
    <w:rsid w:val="00634668"/>
    <w:rsid w:val="006351F1"/>
    <w:rsid w:val="006353CD"/>
    <w:rsid w:val="00635CA5"/>
    <w:rsid w:val="00637A54"/>
    <w:rsid w:val="00643A43"/>
    <w:rsid w:val="00644F7C"/>
    <w:rsid w:val="006456F6"/>
    <w:rsid w:val="00645C2A"/>
    <w:rsid w:val="00645F56"/>
    <w:rsid w:val="00647F84"/>
    <w:rsid w:val="006512D3"/>
    <w:rsid w:val="00653DD1"/>
    <w:rsid w:val="006540D4"/>
    <w:rsid w:val="00655E36"/>
    <w:rsid w:val="00656F4B"/>
    <w:rsid w:val="00657335"/>
    <w:rsid w:val="006602C4"/>
    <w:rsid w:val="006602D5"/>
    <w:rsid w:val="00662E47"/>
    <w:rsid w:val="00663155"/>
    <w:rsid w:val="00663C8E"/>
    <w:rsid w:val="00663FA6"/>
    <w:rsid w:val="00664BA7"/>
    <w:rsid w:val="00664FA1"/>
    <w:rsid w:val="006658A5"/>
    <w:rsid w:val="00665DDE"/>
    <w:rsid w:val="0066639D"/>
    <w:rsid w:val="006666EE"/>
    <w:rsid w:val="006670DC"/>
    <w:rsid w:val="006672B1"/>
    <w:rsid w:val="006674FE"/>
    <w:rsid w:val="0066776A"/>
    <w:rsid w:val="00670D33"/>
    <w:rsid w:val="00671317"/>
    <w:rsid w:val="0067228C"/>
    <w:rsid w:val="006731DF"/>
    <w:rsid w:val="00673228"/>
    <w:rsid w:val="00674D4E"/>
    <w:rsid w:val="00675B6E"/>
    <w:rsid w:val="00675D90"/>
    <w:rsid w:val="0067634F"/>
    <w:rsid w:val="006807FF"/>
    <w:rsid w:val="00680A58"/>
    <w:rsid w:val="00681830"/>
    <w:rsid w:val="0068209D"/>
    <w:rsid w:val="006825C1"/>
    <w:rsid w:val="00684607"/>
    <w:rsid w:val="00684BDB"/>
    <w:rsid w:val="0068501D"/>
    <w:rsid w:val="00685CE3"/>
    <w:rsid w:val="00686B8F"/>
    <w:rsid w:val="00687327"/>
    <w:rsid w:val="00687965"/>
    <w:rsid w:val="00690E0E"/>
    <w:rsid w:val="00691694"/>
    <w:rsid w:val="00691705"/>
    <w:rsid w:val="00691B68"/>
    <w:rsid w:val="00691C2A"/>
    <w:rsid w:val="00691DD6"/>
    <w:rsid w:val="006923AC"/>
    <w:rsid w:val="00695C09"/>
    <w:rsid w:val="00695D3D"/>
    <w:rsid w:val="00696711"/>
    <w:rsid w:val="006968D9"/>
    <w:rsid w:val="00696E5F"/>
    <w:rsid w:val="0069748E"/>
    <w:rsid w:val="00697493"/>
    <w:rsid w:val="00697AC1"/>
    <w:rsid w:val="00697C30"/>
    <w:rsid w:val="006A00A8"/>
    <w:rsid w:val="006A028A"/>
    <w:rsid w:val="006A19BB"/>
    <w:rsid w:val="006A1A35"/>
    <w:rsid w:val="006A3257"/>
    <w:rsid w:val="006A39F9"/>
    <w:rsid w:val="006A3B98"/>
    <w:rsid w:val="006A438E"/>
    <w:rsid w:val="006A58A6"/>
    <w:rsid w:val="006A5E71"/>
    <w:rsid w:val="006B1AA3"/>
    <w:rsid w:val="006B2E68"/>
    <w:rsid w:val="006B31A3"/>
    <w:rsid w:val="006B34C6"/>
    <w:rsid w:val="006B3BFC"/>
    <w:rsid w:val="006B492D"/>
    <w:rsid w:val="006B5DEC"/>
    <w:rsid w:val="006B72B8"/>
    <w:rsid w:val="006C03D8"/>
    <w:rsid w:val="006C0505"/>
    <w:rsid w:val="006C08C8"/>
    <w:rsid w:val="006C091A"/>
    <w:rsid w:val="006C0B33"/>
    <w:rsid w:val="006C2234"/>
    <w:rsid w:val="006C265B"/>
    <w:rsid w:val="006C2E5A"/>
    <w:rsid w:val="006C2FAA"/>
    <w:rsid w:val="006C3217"/>
    <w:rsid w:val="006C4058"/>
    <w:rsid w:val="006C4D1A"/>
    <w:rsid w:val="006C4E8C"/>
    <w:rsid w:val="006C521A"/>
    <w:rsid w:val="006C585F"/>
    <w:rsid w:val="006C5992"/>
    <w:rsid w:val="006C5D5E"/>
    <w:rsid w:val="006C63DD"/>
    <w:rsid w:val="006C7BF8"/>
    <w:rsid w:val="006C7DD3"/>
    <w:rsid w:val="006C7E76"/>
    <w:rsid w:val="006D0B31"/>
    <w:rsid w:val="006D0DCF"/>
    <w:rsid w:val="006D1166"/>
    <w:rsid w:val="006D11A9"/>
    <w:rsid w:val="006D2DC0"/>
    <w:rsid w:val="006D3472"/>
    <w:rsid w:val="006D4BE2"/>
    <w:rsid w:val="006D5031"/>
    <w:rsid w:val="006D529B"/>
    <w:rsid w:val="006D59B8"/>
    <w:rsid w:val="006D59C1"/>
    <w:rsid w:val="006D5E86"/>
    <w:rsid w:val="006D778B"/>
    <w:rsid w:val="006E06F9"/>
    <w:rsid w:val="006E0887"/>
    <w:rsid w:val="006E131E"/>
    <w:rsid w:val="006E1CA0"/>
    <w:rsid w:val="006E3D58"/>
    <w:rsid w:val="006E42D1"/>
    <w:rsid w:val="006E42EF"/>
    <w:rsid w:val="006E43E7"/>
    <w:rsid w:val="006E5667"/>
    <w:rsid w:val="006E5766"/>
    <w:rsid w:val="006E5987"/>
    <w:rsid w:val="006E6438"/>
    <w:rsid w:val="006E7031"/>
    <w:rsid w:val="006E7639"/>
    <w:rsid w:val="006F01D0"/>
    <w:rsid w:val="006F064F"/>
    <w:rsid w:val="006F08A7"/>
    <w:rsid w:val="006F10C5"/>
    <w:rsid w:val="006F1E9C"/>
    <w:rsid w:val="006F209E"/>
    <w:rsid w:val="006F2E35"/>
    <w:rsid w:val="006F347A"/>
    <w:rsid w:val="006F43B9"/>
    <w:rsid w:val="006F49B5"/>
    <w:rsid w:val="006F521B"/>
    <w:rsid w:val="006F5539"/>
    <w:rsid w:val="006F5DA6"/>
    <w:rsid w:val="006F6394"/>
    <w:rsid w:val="006F6CBF"/>
    <w:rsid w:val="006F6F15"/>
    <w:rsid w:val="00700E99"/>
    <w:rsid w:val="00702B42"/>
    <w:rsid w:val="00703670"/>
    <w:rsid w:val="00704245"/>
    <w:rsid w:val="007045DB"/>
    <w:rsid w:val="007057EB"/>
    <w:rsid w:val="007061F3"/>
    <w:rsid w:val="00707E6E"/>
    <w:rsid w:val="0071129A"/>
    <w:rsid w:val="007119EA"/>
    <w:rsid w:val="00712094"/>
    <w:rsid w:val="0071327C"/>
    <w:rsid w:val="00713F25"/>
    <w:rsid w:val="00714338"/>
    <w:rsid w:val="00715426"/>
    <w:rsid w:val="0071606B"/>
    <w:rsid w:val="00716343"/>
    <w:rsid w:val="00716D9A"/>
    <w:rsid w:val="00717915"/>
    <w:rsid w:val="00717D4C"/>
    <w:rsid w:val="00720994"/>
    <w:rsid w:val="00721DCD"/>
    <w:rsid w:val="00723A9A"/>
    <w:rsid w:val="00723B50"/>
    <w:rsid w:val="00724871"/>
    <w:rsid w:val="0072650C"/>
    <w:rsid w:val="00726ACC"/>
    <w:rsid w:val="00726CED"/>
    <w:rsid w:val="00731DE8"/>
    <w:rsid w:val="00732B8C"/>
    <w:rsid w:val="00732DCB"/>
    <w:rsid w:val="007332EF"/>
    <w:rsid w:val="00733853"/>
    <w:rsid w:val="0073439F"/>
    <w:rsid w:val="00734BCD"/>
    <w:rsid w:val="00734C75"/>
    <w:rsid w:val="00734CC5"/>
    <w:rsid w:val="00735592"/>
    <w:rsid w:val="0073583F"/>
    <w:rsid w:val="00735ABB"/>
    <w:rsid w:val="00735AE4"/>
    <w:rsid w:val="00737F2C"/>
    <w:rsid w:val="00737F4E"/>
    <w:rsid w:val="007403EB"/>
    <w:rsid w:val="007406F0"/>
    <w:rsid w:val="0074099C"/>
    <w:rsid w:val="00740C7E"/>
    <w:rsid w:val="00740EBE"/>
    <w:rsid w:val="007427E9"/>
    <w:rsid w:val="00743E79"/>
    <w:rsid w:val="0074404D"/>
    <w:rsid w:val="00744DA5"/>
    <w:rsid w:val="0074502D"/>
    <w:rsid w:val="00745444"/>
    <w:rsid w:val="00745791"/>
    <w:rsid w:val="0074595E"/>
    <w:rsid w:val="0074670A"/>
    <w:rsid w:val="00747001"/>
    <w:rsid w:val="0074750D"/>
    <w:rsid w:val="00750017"/>
    <w:rsid w:val="00750BD8"/>
    <w:rsid w:val="00751CC0"/>
    <w:rsid w:val="00751F24"/>
    <w:rsid w:val="0075253A"/>
    <w:rsid w:val="00752E24"/>
    <w:rsid w:val="0075327D"/>
    <w:rsid w:val="007537BE"/>
    <w:rsid w:val="00753A5C"/>
    <w:rsid w:val="00753EEB"/>
    <w:rsid w:val="007556DA"/>
    <w:rsid w:val="007558AF"/>
    <w:rsid w:val="007562C6"/>
    <w:rsid w:val="0075645F"/>
    <w:rsid w:val="00756DC1"/>
    <w:rsid w:val="007571E6"/>
    <w:rsid w:val="00757CC2"/>
    <w:rsid w:val="00760F5F"/>
    <w:rsid w:val="007614D5"/>
    <w:rsid w:val="00761A48"/>
    <w:rsid w:val="00761AFB"/>
    <w:rsid w:val="00761DFE"/>
    <w:rsid w:val="007623E1"/>
    <w:rsid w:val="00762C16"/>
    <w:rsid w:val="0076305E"/>
    <w:rsid w:val="007632C8"/>
    <w:rsid w:val="0076335E"/>
    <w:rsid w:val="0076411D"/>
    <w:rsid w:val="00765581"/>
    <w:rsid w:val="00765C79"/>
    <w:rsid w:val="007661C4"/>
    <w:rsid w:val="007667FE"/>
    <w:rsid w:val="007668A6"/>
    <w:rsid w:val="007670D3"/>
    <w:rsid w:val="0076743B"/>
    <w:rsid w:val="0076759E"/>
    <w:rsid w:val="0077002B"/>
    <w:rsid w:val="007706C7"/>
    <w:rsid w:val="007707DF"/>
    <w:rsid w:val="0077373A"/>
    <w:rsid w:val="007748B2"/>
    <w:rsid w:val="00774B78"/>
    <w:rsid w:val="007752BE"/>
    <w:rsid w:val="007759CC"/>
    <w:rsid w:val="00775F71"/>
    <w:rsid w:val="007771D4"/>
    <w:rsid w:val="00777566"/>
    <w:rsid w:val="00777D17"/>
    <w:rsid w:val="007804BC"/>
    <w:rsid w:val="00780E09"/>
    <w:rsid w:val="007823D5"/>
    <w:rsid w:val="00782E32"/>
    <w:rsid w:val="007833CC"/>
    <w:rsid w:val="00783D2B"/>
    <w:rsid w:val="00783D73"/>
    <w:rsid w:val="00784D32"/>
    <w:rsid w:val="00784D65"/>
    <w:rsid w:val="007857D2"/>
    <w:rsid w:val="00785EB8"/>
    <w:rsid w:val="00786324"/>
    <w:rsid w:val="0078646E"/>
    <w:rsid w:val="00787EF3"/>
    <w:rsid w:val="00790D22"/>
    <w:rsid w:val="00790E10"/>
    <w:rsid w:val="00791535"/>
    <w:rsid w:val="00792933"/>
    <w:rsid w:val="00793047"/>
    <w:rsid w:val="007931F4"/>
    <w:rsid w:val="00793487"/>
    <w:rsid w:val="00793602"/>
    <w:rsid w:val="007945A8"/>
    <w:rsid w:val="007946FB"/>
    <w:rsid w:val="007948B8"/>
    <w:rsid w:val="00795C31"/>
    <w:rsid w:val="00795CC4"/>
    <w:rsid w:val="00796C13"/>
    <w:rsid w:val="00797F3D"/>
    <w:rsid w:val="007A0770"/>
    <w:rsid w:val="007A0CB6"/>
    <w:rsid w:val="007A0E28"/>
    <w:rsid w:val="007A1634"/>
    <w:rsid w:val="007A1B11"/>
    <w:rsid w:val="007A21AB"/>
    <w:rsid w:val="007A3021"/>
    <w:rsid w:val="007A3D85"/>
    <w:rsid w:val="007A435D"/>
    <w:rsid w:val="007A469E"/>
    <w:rsid w:val="007A4EB4"/>
    <w:rsid w:val="007A569E"/>
    <w:rsid w:val="007A6870"/>
    <w:rsid w:val="007A7254"/>
    <w:rsid w:val="007A79E1"/>
    <w:rsid w:val="007B0129"/>
    <w:rsid w:val="007B063D"/>
    <w:rsid w:val="007B1532"/>
    <w:rsid w:val="007B290D"/>
    <w:rsid w:val="007B29D4"/>
    <w:rsid w:val="007B2D37"/>
    <w:rsid w:val="007B3B94"/>
    <w:rsid w:val="007B542B"/>
    <w:rsid w:val="007B5524"/>
    <w:rsid w:val="007B5A77"/>
    <w:rsid w:val="007B5E52"/>
    <w:rsid w:val="007B7347"/>
    <w:rsid w:val="007B7514"/>
    <w:rsid w:val="007B764B"/>
    <w:rsid w:val="007C103A"/>
    <w:rsid w:val="007C1BBD"/>
    <w:rsid w:val="007C1BFF"/>
    <w:rsid w:val="007C22A4"/>
    <w:rsid w:val="007C237D"/>
    <w:rsid w:val="007C2D40"/>
    <w:rsid w:val="007C54F8"/>
    <w:rsid w:val="007C633C"/>
    <w:rsid w:val="007C6986"/>
    <w:rsid w:val="007C7652"/>
    <w:rsid w:val="007D0693"/>
    <w:rsid w:val="007D0831"/>
    <w:rsid w:val="007D293A"/>
    <w:rsid w:val="007D32F0"/>
    <w:rsid w:val="007D33A6"/>
    <w:rsid w:val="007D3420"/>
    <w:rsid w:val="007D392B"/>
    <w:rsid w:val="007D5891"/>
    <w:rsid w:val="007D7328"/>
    <w:rsid w:val="007D76E0"/>
    <w:rsid w:val="007E06CA"/>
    <w:rsid w:val="007E0869"/>
    <w:rsid w:val="007E2A09"/>
    <w:rsid w:val="007E2E1A"/>
    <w:rsid w:val="007E3213"/>
    <w:rsid w:val="007E3F52"/>
    <w:rsid w:val="007E3FD5"/>
    <w:rsid w:val="007E4294"/>
    <w:rsid w:val="007E5EC1"/>
    <w:rsid w:val="007E6335"/>
    <w:rsid w:val="007E6622"/>
    <w:rsid w:val="007E7110"/>
    <w:rsid w:val="007E7172"/>
    <w:rsid w:val="007F0401"/>
    <w:rsid w:val="007F13A7"/>
    <w:rsid w:val="007F22F0"/>
    <w:rsid w:val="007F265B"/>
    <w:rsid w:val="007F32F5"/>
    <w:rsid w:val="007F3358"/>
    <w:rsid w:val="007F3C81"/>
    <w:rsid w:val="007F3F07"/>
    <w:rsid w:val="007F4588"/>
    <w:rsid w:val="007F513A"/>
    <w:rsid w:val="007F52B3"/>
    <w:rsid w:val="007F5409"/>
    <w:rsid w:val="007F564A"/>
    <w:rsid w:val="007F5DD4"/>
    <w:rsid w:val="007F60F4"/>
    <w:rsid w:val="00800543"/>
    <w:rsid w:val="00800736"/>
    <w:rsid w:val="00800B2D"/>
    <w:rsid w:val="00801268"/>
    <w:rsid w:val="008017CA"/>
    <w:rsid w:val="00801B4A"/>
    <w:rsid w:val="00801E19"/>
    <w:rsid w:val="00802AE5"/>
    <w:rsid w:val="00803392"/>
    <w:rsid w:val="008039D9"/>
    <w:rsid w:val="0080408D"/>
    <w:rsid w:val="00805102"/>
    <w:rsid w:val="00806F90"/>
    <w:rsid w:val="008079F8"/>
    <w:rsid w:val="00810000"/>
    <w:rsid w:val="0081030B"/>
    <w:rsid w:val="00810D5D"/>
    <w:rsid w:val="00810FF5"/>
    <w:rsid w:val="00812947"/>
    <w:rsid w:val="008138FD"/>
    <w:rsid w:val="00814B90"/>
    <w:rsid w:val="00815E7F"/>
    <w:rsid w:val="0081684D"/>
    <w:rsid w:val="00817AF6"/>
    <w:rsid w:val="008200D4"/>
    <w:rsid w:val="00820109"/>
    <w:rsid w:val="008201E1"/>
    <w:rsid w:val="00820370"/>
    <w:rsid w:val="00820618"/>
    <w:rsid w:val="00820D83"/>
    <w:rsid w:val="0082138D"/>
    <w:rsid w:val="00821472"/>
    <w:rsid w:val="0082191D"/>
    <w:rsid w:val="0082288F"/>
    <w:rsid w:val="0082389A"/>
    <w:rsid w:val="00823D7A"/>
    <w:rsid w:val="00825591"/>
    <w:rsid w:val="008259CA"/>
    <w:rsid w:val="00825B4C"/>
    <w:rsid w:val="00825F60"/>
    <w:rsid w:val="008262AF"/>
    <w:rsid w:val="008268C1"/>
    <w:rsid w:val="00827607"/>
    <w:rsid w:val="00827FB7"/>
    <w:rsid w:val="00831A94"/>
    <w:rsid w:val="00831E16"/>
    <w:rsid w:val="0083219D"/>
    <w:rsid w:val="008326BA"/>
    <w:rsid w:val="008331EA"/>
    <w:rsid w:val="008334DA"/>
    <w:rsid w:val="00834393"/>
    <w:rsid w:val="0083441A"/>
    <w:rsid w:val="0083475F"/>
    <w:rsid w:val="00835D0D"/>
    <w:rsid w:val="00836A0A"/>
    <w:rsid w:val="00837390"/>
    <w:rsid w:val="00837E7F"/>
    <w:rsid w:val="008404BF"/>
    <w:rsid w:val="008416D6"/>
    <w:rsid w:val="0084183A"/>
    <w:rsid w:val="0084288C"/>
    <w:rsid w:val="00842D7D"/>
    <w:rsid w:val="00842EE8"/>
    <w:rsid w:val="0084587F"/>
    <w:rsid w:val="00846F78"/>
    <w:rsid w:val="00847A96"/>
    <w:rsid w:val="008514A1"/>
    <w:rsid w:val="00852D7C"/>
    <w:rsid w:val="00853731"/>
    <w:rsid w:val="008537AE"/>
    <w:rsid w:val="0085398F"/>
    <w:rsid w:val="00853B87"/>
    <w:rsid w:val="00854392"/>
    <w:rsid w:val="0085454E"/>
    <w:rsid w:val="0085596B"/>
    <w:rsid w:val="00856173"/>
    <w:rsid w:val="00856407"/>
    <w:rsid w:val="008566F7"/>
    <w:rsid w:val="008568A5"/>
    <w:rsid w:val="00856EA1"/>
    <w:rsid w:val="00857040"/>
    <w:rsid w:val="00860C6A"/>
    <w:rsid w:val="00861557"/>
    <w:rsid w:val="00861B60"/>
    <w:rsid w:val="00861D45"/>
    <w:rsid w:val="008621F0"/>
    <w:rsid w:val="00863C1E"/>
    <w:rsid w:val="00863DB6"/>
    <w:rsid w:val="00864FA1"/>
    <w:rsid w:val="00864FFE"/>
    <w:rsid w:val="0086503C"/>
    <w:rsid w:val="0086507B"/>
    <w:rsid w:val="0086659B"/>
    <w:rsid w:val="00866B6C"/>
    <w:rsid w:val="00866EA4"/>
    <w:rsid w:val="008679A4"/>
    <w:rsid w:val="00870833"/>
    <w:rsid w:val="008728E2"/>
    <w:rsid w:val="008728FB"/>
    <w:rsid w:val="00872DD4"/>
    <w:rsid w:val="0087374D"/>
    <w:rsid w:val="00873855"/>
    <w:rsid w:val="00874104"/>
    <w:rsid w:val="00875C5D"/>
    <w:rsid w:val="00876819"/>
    <w:rsid w:val="008769AD"/>
    <w:rsid w:val="00877027"/>
    <w:rsid w:val="0087740E"/>
    <w:rsid w:val="00880ACA"/>
    <w:rsid w:val="00881BEF"/>
    <w:rsid w:val="00881C98"/>
    <w:rsid w:val="00882066"/>
    <w:rsid w:val="00882E5C"/>
    <w:rsid w:val="008838DA"/>
    <w:rsid w:val="00884115"/>
    <w:rsid w:val="0088542C"/>
    <w:rsid w:val="0088552B"/>
    <w:rsid w:val="0088690C"/>
    <w:rsid w:val="0088695B"/>
    <w:rsid w:val="008872F4"/>
    <w:rsid w:val="00891369"/>
    <w:rsid w:val="00891B36"/>
    <w:rsid w:val="00891D20"/>
    <w:rsid w:val="00891F24"/>
    <w:rsid w:val="008922B8"/>
    <w:rsid w:val="008929F7"/>
    <w:rsid w:val="0089323A"/>
    <w:rsid w:val="00894185"/>
    <w:rsid w:val="0089572B"/>
    <w:rsid w:val="00895A87"/>
    <w:rsid w:val="0089677E"/>
    <w:rsid w:val="0089727B"/>
    <w:rsid w:val="008974C1"/>
    <w:rsid w:val="00897760"/>
    <w:rsid w:val="008A0157"/>
    <w:rsid w:val="008A0A56"/>
    <w:rsid w:val="008A131A"/>
    <w:rsid w:val="008A1323"/>
    <w:rsid w:val="008A1694"/>
    <w:rsid w:val="008A200F"/>
    <w:rsid w:val="008A23F8"/>
    <w:rsid w:val="008A2731"/>
    <w:rsid w:val="008A2882"/>
    <w:rsid w:val="008A2A1A"/>
    <w:rsid w:val="008A484D"/>
    <w:rsid w:val="008A4FE2"/>
    <w:rsid w:val="008A5225"/>
    <w:rsid w:val="008A54CC"/>
    <w:rsid w:val="008A68DD"/>
    <w:rsid w:val="008A6A83"/>
    <w:rsid w:val="008A6E32"/>
    <w:rsid w:val="008A6F48"/>
    <w:rsid w:val="008A7358"/>
    <w:rsid w:val="008A7A0B"/>
    <w:rsid w:val="008B00C5"/>
    <w:rsid w:val="008B0272"/>
    <w:rsid w:val="008B0F2B"/>
    <w:rsid w:val="008B2CEA"/>
    <w:rsid w:val="008B2E66"/>
    <w:rsid w:val="008B36B0"/>
    <w:rsid w:val="008B3D35"/>
    <w:rsid w:val="008B5380"/>
    <w:rsid w:val="008B590B"/>
    <w:rsid w:val="008B5AC0"/>
    <w:rsid w:val="008B5CB1"/>
    <w:rsid w:val="008B5F94"/>
    <w:rsid w:val="008B656A"/>
    <w:rsid w:val="008B7B27"/>
    <w:rsid w:val="008B7D8D"/>
    <w:rsid w:val="008B7E1F"/>
    <w:rsid w:val="008C0631"/>
    <w:rsid w:val="008C09ED"/>
    <w:rsid w:val="008C0D39"/>
    <w:rsid w:val="008C1BB8"/>
    <w:rsid w:val="008C2DB7"/>
    <w:rsid w:val="008C2DF2"/>
    <w:rsid w:val="008C4031"/>
    <w:rsid w:val="008C552A"/>
    <w:rsid w:val="008C61AD"/>
    <w:rsid w:val="008C625F"/>
    <w:rsid w:val="008C6749"/>
    <w:rsid w:val="008C6928"/>
    <w:rsid w:val="008C7459"/>
    <w:rsid w:val="008C7966"/>
    <w:rsid w:val="008D06DF"/>
    <w:rsid w:val="008D1443"/>
    <w:rsid w:val="008D1562"/>
    <w:rsid w:val="008D1B05"/>
    <w:rsid w:val="008D1D41"/>
    <w:rsid w:val="008D2513"/>
    <w:rsid w:val="008D33F7"/>
    <w:rsid w:val="008D3E1B"/>
    <w:rsid w:val="008D4013"/>
    <w:rsid w:val="008D4252"/>
    <w:rsid w:val="008D4589"/>
    <w:rsid w:val="008D486E"/>
    <w:rsid w:val="008D4E0D"/>
    <w:rsid w:val="008D66C4"/>
    <w:rsid w:val="008D6753"/>
    <w:rsid w:val="008D67C7"/>
    <w:rsid w:val="008D791D"/>
    <w:rsid w:val="008E0AC0"/>
    <w:rsid w:val="008E1155"/>
    <w:rsid w:val="008E136F"/>
    <w:rsid w:val="008E14B6"/>
    <w:rsid w:val="008E1583"/>
    <w:rsid w:val="008E1A74"/>
    <w:rsid w:val="008E1CD8"/>
    <w:rsid w:val="008E4E25"/>
    <w:rsid w:val="008E4FD2"/>
    <w:rsid w:val="008E5007"/>
    <w:rsid w:val="008E50F8"/>
    <w:rsid w:val="008E5B03"/>
    <w:rsid w:val="008E5E09"/>
    <w:rsid w:val="008F0A0C"/>
    <w:rsid w:val="008F1E99"/>
    <w:rsid w:val="008F2A5F"/>
    <w:rsid w:val="008F3839"/>
    <w:rsid w:val="008F4A2E"/>
    <w:rsid w:val="008F568C"/>
    <w:rsid w:val="008F60DF"/>
    <w:rsid w:val="008F64DE"/>
    <w:rsid w:val="008F675C"/>
    <w:rsid w:val="008F6827"/>
    <w:rsid w:val="008F6923"/>
    <w:rsid w:val="008F7304"/>
    <w:rsid w:val="008F75A8"/>
    <w:rsid w:val="00901483"/>
    <w:rsid w:val="00902640"/>
    <w:rsid w:val="009028FA"/>
    <w:rsid w:val="00902E94"/>
    <w:rsid w:val="00903928"/>
    <w:rsid w:val="00903CF3"/>
    <w:rsid w:val="00904D10"/>
    <w:rsid w:val="00905C58"/>
    <w:rsid w:val="00905DD4"/>
    <w:rsid w:val="00906530"/>
    <w:rsid w:val="00906E02"/>
    <w:rsid w:val="00907AB6"/>
    <w:rsid w:val="009116A9"/>
    <w:rsid w:val="009123B3"/>
    <w:rsid w:val="009128CD"/>
    <w:rsid w:val="00912A88"/>
    <w:rsid w:val="0091371A"/>
    <w:rsid w:val="00913A6B"/>
    <w:rsid w:val="00914826"/>
    <w:rsid w:val="009162DF"/>
    <w:rsid w:val="0091652A"/>
    <w:rsid w:val="00916A9E"/>
    <w:rsid w:val="0091781A"/>
    <w:rsid w:val="00920397"/>
    <w:rsid w:val="0092155F"/>
    <w:rsid w:val="00921E6A"/>
    <w:rsid w:val="00922B79"/>
    <w:rsid w:val="00923140"/>
    <w:rsid w:val="00923357"/>
    <w:rsid w:val="00924196"/>
    <w:rsid w:val="009244A8"/>
    <w:rsid w:val="009249F3"/>
    <w:rsid w:val="009261D4"/>
    <w:rsid w:val="00926B39"/>
    <w:rsid w:val="00926E2B"/>
    <w:rsid w:val="009272D6"/>
    <w:rsid w:val="00930FF0"/>
    <w:rsid w:val="009322FA"/>
    <w:rsid w:val="009325EB"/>
    <w:rsid w:val="00932BE0"/>
    <w:rsid w:val="0093431A"/>
    <w:rsid w:val="009357CE"/>
    <w:rsid w:val="00935C13"/>
    <w:rsid w:val="009366D4"/>
    <w:rsid w:val="00937072"/>
    <w:rsid w:val="0093750E"/>
    <w:rsid w:val="00937664"/>
    <w:rsid w:val="00937868"/>
    <w:rsid w:val="00937AA9"/>
    <w:rsid w:val="00937B0B"/>
    <w:rsid w:val="00940548"/>
    <w:rsid w:val="009413FA"/>
    <w:rsid w:val="00943760"/>
    <w:rsid w:val="00944027"/>
    <w:rsid w:val="0094454B"/>
    <w:rsid w:val="009445F8"/>
    <w:rsid w:val="00944B33"/>
    <w:rsid w:val="00944C91"/>
    <w:rsid w:val="00946580"/>
    <w:rsid w:val="00946DA4"/>
    <w:rsid w:val="00950028"/>
    <w:rsid w:val="00951908"/>
    <w:rsid w:val="00952B2F"/>
    <w:rsid w:val="009539BE"/>
    <w:rsid w:val="00954C1F"/>
    <w:rsid w:val="00955365"/>
    <w:rsid w:val="009615AE"/>
    <w:rsid w:val="0096511F"/>
    <w:rsid w:val="0096631C"/>
    <w:rsid w:val="0096649D"/>
    <w:rsid w:val="00967D82"/>
    <w:rsid w:val="0097003A"/>
    <w:rsid w:val="009702D7"/>
    <w:rsid w:val="00970ED1"/>
    <w:rsid w:val="00971A5A"/>
    <w:rsid w:val="00971AB2"/>
    <w:rsid w:val="00972040"/>
    <w:rsid w:val="00972539"/>
    <w:rsid w:val="00972F42"/>
    <w:rsid w:val="009734BB"/>
    <w:rsid w:val="00973C5C"/>
    <w:rsid w:val="00974296"/>
    <w:rsid w:val="009746AB"/>
    <w:rsid w:val="0097486E"/>
    <w:rsid w:val="00974D1D"/>
    <w:rsid w:val="009752B2"/>
    <w:rsid w:val="00976F78"/>
    <w:rsid w:val="00977852"/>
    <w:rsid w:val="00977E2C"/>
    <w:rsid w:val="00981DAA"/>
    <w:rsid w:val="00981E0F"/>
    <w:rsid w:val="00983454"/>
    <w:rsid w:val="00983C25"/>
    <w:rsid w:val="00983C60"/>
    <w:rsid w:val="00984708"/>
    <w:rsid w:val="00984EAF"/>
    <w:rsid w:val="0098549A"/>
    <w:rsid w:val="00985B40"/>
    <w:rsid w:val="00986E7B"/>
    <w:rsid w:val="00987478"/>
    <w:rsid w:val="00987A8B"/>
    <w:rsid w:val="009900FA"/>
    <w:rsid w:val="009903F8"/>
    <w:rsid w:val="00990B91"/>
    <w:rsid w:val="00990C21"/>
    <w:rsid w:val="00991390"/>
    <w:rsid w:val="0099149E"/>
    <w:rsid w:val="00991DC1"/>
    <w:rsid w:val="0099208D"/>
    <w:rsid w:val="00992434"/>
    <w:rsid w:val="00992521"/>
    <w:rsid w:val="009949E9"/>
    <w:rsid w:val="00996A21"/>
    <w:rsid w:val="00996D49"/>
    <w:rsid w:val="00997BE9"/>
    <w:rsid w:val="009A09CE"/>
    <w:rsid w:val="009A0AB1"/>
    <w:rsid w:val="009A141D"/>
    <w:rsid w:val="009A155B"/>
    <w:rsid w:val="009A1F80"/>
    <w:rsid w:val="009A3ABB"/>
    <w:rsid w:val="009A4A48"/>
    <w:rsid w:val="009A546A"/>
    <w:rsid w:val="009A6EE3"/>
    <w:rsid w:val="009A7BD2"/>
    <w:rsid w:val="009B0F02"/>
    <w:rsid w:val="009B166C"/>
    <w:rsid w:val="009B237D"/>
    <w:rsid w:val="009B23FB"/>
    <w:rsid w:val="009B36CA"/>
    <w:rsid w:val="009B3C0B"/>
    <w:rsid w:val="009B4724"/>
    <w:rsid w:val="009B530A"/>
    <w:rsid w:val="009B588C"/>
    <w:rsid w:val="009B5972"/>
    <w:rsid w:val="009B7776"/>
    <w:rsid w:val="009C0E71"/>
    <w:rsid w:val="009C1966"/>
    <w:rsid w:val="009C1980"/>
    <w:rsid w:val="009C1FD5"/>
    <w:rsid w:val="009C213B"/>
    <w:rsid w:val="009C2382"/>
    <w:rsid w:val="009C3812"/>
    <w:rsid w:val="009C40B9"/>
    <w:rsid w:val="009C421A"/>
    <w:rsid w:val="009C656B"/>
    <w:rsid w:val="009C67F4"/>
    <w:rsid w:val="009C6BB6"/>
    <w:rsid w:val="009C6CE1"/>
    <w:rsid w:val="009C798E"/>
    <w:rsid w:val="009C7C53"/>
    <w:rsid w:val="009D07A3"/>
    <w:rsid w:val="009D0901"/>
    <w:rsid w:val="009D0BD2"/>
    <w:rsid w:val="009D0DB4"/>
    <w:rsid w:val="009D1580"/>
    <w:rsid w:val="009D254F"/>
    <w:rsid w:val="009D31AB"/>
    <w:rsid w:val="009D3657"/>
    <w:rsid w:val="009D39DD"/>
    <w:rsid w:val="009D3BBE"/>
    <w:rsid w:val="009D49A2"/>
    <w:rsid w:val="009D4BDF"/>
    <w:rsid w:val="009D5B87"/>
    <w:rsid w:val="009D5F1C"/>
    <w:rsid w:val="009D6440"/>
    <w:rsid w:val="009D7314"/>
    <w:rsid w:val="009D7753"/>
    <w:rsid w:val="009D78E4"/>
    <w:rsid w:val="009E01F8"/>
    <w:rsid w:val="009E1EB5"/>
    <w:rsid w:val="009E2235"/>
    <w:rsid w:val="009E33AC"/>
    <w:rsid w:val="009E3521"/>
    <w:rsid w:val="009E35FC"/>
    <w:rsid w:val="009E4775"/>
    <w:rsid w:val="009E4944"/>
    <w:rsid w:val="009E4D78"/>
    <w:rsid w:val="009E4DCB"/>
    <w:rsid w:val="009E4E22"/>
    <w:rsid w:val="009E557B"/>
    <w:rsid w:val="009E693D"/>
    <w:rsid w:val="009E6A92"/>
    <w:rsid w:val="009E7D62"/>
    <w:rsid w:val="009F0C53"/>
    <w:rsid w:val="009F11A2"/>
    <w:rsid w:val="009F20CD"/>
    <w:rsid w:val="009F2359"/>
    <w:rsid w:val="009F2A4D"/>
    <w:rsid w:val="009F3930"/>
    <w:rsid w:val="009F3DBE"/>
    <w:rsid w:val="009F4E7A"/>
    <w:rsid w:val="009F5796"/>
    <w:rsid w:val="009F5C9F"/>
    <w:rsid w:val="009F620C"/>
    <w:rsid w:val="009F652F"/>
    <w:rsid w:val="009F6E6E"/>
    <w:rsid w:val="00A004DA"/>
    <w:rsid w:val="00A00658"/>
    <w:rsid w:val="00A022E2"/>
    <w:rsid w:val="00A02AA2"/>
    <w:rsid w:val="00A02D0C"/>
    <w:rsid w:val="00A03AFF"/>
    <w:rsid w:val="00A04765"/>
    <w:rsid w:val="00A05754"/>
    <w:rsid w:val="00A05AD4"/>
    <w:rsid w:val="00A06585"/>
    <w:rsid w:val="00A07E75"/>
    <w:rsid w:val="00A10505"/>
    <w:rsid w:val="00A10F35"/>
    <w:rsid w:val="00A117E0"/>
    <w:rsid w:val="00A14187"/>
    <w:rsid w:val="00A14C8E"/>
    <w:rsid w:val="00A14DED"/>
    <w:rsid w:val="00A14E80"/>
    <w:rsid w:val="00A1565B"/>
    <w:rsid w:val="00A15F95"/>
    <w:rsid w:val="00A17039"/>
    <w:rsid w:val="00A171CA"/>
    <w:rsid w:val="00A174F5"/>
    <w:rsid w:val="00A17AB9"/>
    <w:rsid w:val="00A17B49"/>
    <w:rsid w:val="00A17E2C"/>
    <w:rsid w:val="00A203D5"/>
    <w:rsid w:val="00A2111E"/>
    <w:rsid w:val="00A2166B"/>
    <w:rsid w:val="00A22178"/>
    <w:rsid w:val="00A224BB"/>
    <w:rsid w:val="00A22BD0"/>
    <w:rsid w:val="00A265DE"/>
    <w:rsid w:val="00A268A2"/>
    <w:rsid w:val="00A27348"/>
    <w:rsid w:val="00A273D4"/>
    <w:rsid w:val="00A30660"/>
    <w:rsid w:val="00A31462"/>
    <w:rsid w:val="00A32935"/>
    <w:rsid w:val="00A331AC"/>
    <w:rsid w:val="00A33490"/>
    <w:rsid w:val="00A33D24"/>
    <w:rsid w:val="00A36F27"/>
    <w:rsid w:val="00A37508"/>
    <w:rsid w:val="00A37AD9"/>
    <w:rsid w:val="00A40BB0"/>
    <w:rsid w:val="00A40C6B"/>
    <w:rsid w:val="00A40DB1"/>
    <w:rsid w:val="00A42409"/>
    <w:rsid w:val="00A42AA4"/>
    <w:rsid w:val="00A42F28"/>
    <w:rsid w:val="00A42FFE"/>
    <w:rsid w:val="00A43BA4"/>
    <w:rsid w:val="00A444CF"/>
    <w:rsid w:val="00A45B13"/>
    <w:rsid w:val="00A46647"/>
    <w:rsid w:val="00A47230"/>
    <w:rsid w:val="00A47612"/>
    <w:rsid w:val="00A47DC8"/>
    <w:rsid w:val="00A47DDD"/>
    <w:rsid w:val="00A5029D"/>
    <w:rsid w:val="00A50D31"/>
    <w:rsid w:val="00A51466"/>
    <w:rsid w:val="00A51A4A"/>
    <w:rsid w:val="00A52326"/>
    <w:rsid w:val="00A52380"/>
    <w:rsid w:val="00A52502"/>
    <w:rsid w:val="00A52B74"/>
    <w:rsid w:val="00A53483"/>
    <w:rsid w:val="00A5472E"/>
    <w:rsid w:val="00A54C08"/>
    <w:rsid w:val="00A54FE6"/>
    <w:rsid w:val="00A5538A"/>
    <w:rsid w:val="00A56091"/>
    <w:rsid w:val="00A5643A"/>
    <w:rsid w:val="00A56DEF"/>
    <w:rsid w:val="00A5723F"/>
    <w:rsid w:val="00A60719"/>
    <w:rsid w:val="00A612C3"/>
    <w:rsid w:val="00A621A6"/>
    <w:rsid w:val="00A6222D"/>
    <w:rsid w:val="00A63514"/>
    <w:rsid w:val="00A64F81"/>
    <w:rsid w:val="00A65BAC"/>
    <w:rsid w:val="00A6606B"/>
    <w:rsid w:val="00A70D5A"/>
    <w:rsid w:val="00A70E4A"/>
    <w:rsid w:val="00A71A90"/>
    <w:rsid w:val="00A721B8"/>
    <w:rsid w:val="00A7276A"/>
    <w:rsid w:val="00A73EBF"/>
    <w:rsid w:val="00A7548D"/>
    <w:rsid w:val="00A756CF"/>
    <w:rsid w:val="00A76489"/>
    <w:rsid w:val="00A7672A"/>
    <w:rsid w:val="00A767CE"/>
    <w:rsid w:val="00A76A09"/>
    <w:rsid w:val="00A77040"/>
    <w:rsid w:val="00A773AE"/>
    <w:rsid w:val="00A8003F"/>
    <w:rsid w:val="00A81042"/>
    <w:rsid w:val="00A81435"/>
    <w:rsid w:val="00A826EF"/>
    <w:rsid w:val="00A838E1"/>
    <w:rsid w:val="00A84488"/>
    <w:rsid w:val="00A84622"/>
    <w:rsid w:val="00A85ACE"/>
    <w:rsid w:val="00A86FFE"/>
    <w:rsid w:val="00A87281"/>
    <w:rsid w:val="00A913F6"/>
    <w:rsid w:val="00A915FE"/>
    <w:rsid w:val="00A92967"/>
    <w:rsid w:val="00A92F59"/>
    <w:rsid w:val="00A94308"/>
    <w:rsid w:val="00A96555"/>
    <w:rsid w:val="00A96D70"/>
    <w:rsid w:val="00A96E1B"/>
    <w:rsid w:val="00A9739B"/>
    <w:rsid w:val="00A97F3C"/>
    <w:rsid w:val="00AA0501"/>
    <w:rsid w:val="00AA1724"/>
    <w:rsid w:val="00AA1913"/>
    <w:rsid w:val="00AA2031"/>
    <w:rsid w:val="00AA2155"/>
    <w:rsid w:val="00AA36D8"/>
    <w:rsid w:val="00AA3733"/>
    <w:rsid w:val="00AA3750"/>
    <w:rsid w:val="00AA40AD"/>
    <w:rsid w:val="00AA5008"/>
    <w:rsid w:val="00AA51CD"/>
    <w:rsid w:val="00AA5717"/>
    <w:rsid w:val="00AA5998"/>
    <w:rsid w:val="00AB0AB3"/>
    <w:rsid w:val="00AB1697"/>
    <w:rsid w:val="00AB1AB7"/>
    <w:rsid w:val="00AB1C73"/>
    <w:rsid w:val="00AB36BA"/>
    <w:rsid w:val="00AB4E47"/>
    <w:rsid w:val="00AB58F8"/>
    <w:rsid w:val="00AB5A59"/>
    <w:rsid w:val="00AB5AA0"/>
    <w:rsid w:val="00AB5C4F"/>
    <w:rsid w:val="00AB6361"/>
    <w:rsid w:val="00AB661B"/>
    <w:rsid w:val="00AB671D"/>
    <w:rsid w:val="00AB76AE"/>
    <w:rsid w:val="00AB7CD4"/>
    <w:rsid w:val="00AC0315"/>
    <w:rsid w:val="00AC0529"/>
    <w:rsid w:val="00AC0574"/>
    <w:rsid w:val="00AC0CA2"/>
    <w:rsid w:val="00AC0F42"/>
    <w:rsid w:val="00AC2152"/>
    <w:rsid w:val="00AC2793"/>
    <w:rsid w:val="00AC33D1"/>
    <w:rsid w:val="00AC3489"/>
    <w:rsid w:val="00AC3B30"/>
    <w:rsid w:val="00AC4ACB"/>
    <w:rsid w:val="00AC542C"/>
    <w:rsid w:val="00AC6D8F"/>
    <w:rsid w:val="00AC72F1"/>
    <w:rsid w:val="00AD2485"/>
    <w:rsid w:val="00AD25EC"/>
    <w:rsid w:val="00AD2AFF"/>
    <w:rsid w:val="00AD3140"/>
    <w:rsid w:val="00AD40E8"/>
    <w:rsid w:val="00AD5947"/>
    <w:rsid w:val="00AD7AF7"/>
    <w:rsid w:val="00AD7B4C"/>
    <w:rsid w:val="00AE07C8"/>
    <w:rsid w:val="00AE1DD7"/>
    <w:rsid w:val="00AE26C2"/>
    <w:rsid w:val="00AE2CA7"/>
    <w:rsid w:val="00AE2EE5"/>
    <w:rsid w:val="00AE311F"/>
    <w:rsid w:val="00AE3249"/>
    <w:rsid w:val="00AE330E"/>
    <w:rsid w:val="00AE45C1"/>
    <w:rsid w:val="00AE4911"/>
    <w:rsid w:val="00AE5165"/>
    <w:rsid w:val="00AE6336"/>
    <w:rsid w:val="00AE6A43"/>
    <w:rsid w:val="00AE6D05"/>
    <w:rsid w:val="00AF1172"/>
    <w:rsid w:val="00AF28EF"/>
    <w:rsid w:val="00AF3512"/>
    <w:rsid w:val="00AF3950"/>
    <w:rsid w:val="00AF458F"/>
    <w:rsid w:val="00AF4B01"/>
    <w:rsid w:val="00AF5F78"/>
    <w:rsid w:val="00AF6023"/>
    <w:rsid w:val="00AF609B"/>
    <w:rsid w:val="00AF7DB2"/>
    <w:rsid w:val="00B00B38"/>
    <w:rsid w:val="00B011DB"/>
    <w:rsid w:val="00B012DE"/>
    <w:rsid w:val="00B014A7"/>
    <w:rsid w:val="00B01666"/>
    <w:rsid w:val="00B03C63"/>
    <w:rsid w:val="00B04F18"/>
    <w:rsid w:val="00B0527B"/>
    <w:rsid w:val="00B05615"/>
    <w:rsid w:val="00B059A2"/>
    <w:rsid w:val="00B05F5A"/>
    <w:rsid w:val="00B10E99"/>
    <w:rsid w:val="00B11032"/>
    <w:rsid w:val="00B1173C"/>
    <w:rsid w:val="00B1320E"/>
    <w:rsid w:val="00B13B04"/>
    <w:rsid w:val="00B13B34"/>
    <w:rsid w:val="00B15EE2"/>
    <w:rsid w:val="00B17683"/>
    <w:rsid w:val="00B17B51"/>
    <w:rsid w:val="00B20D4E"/>
    <w:rsid w:val="00B20E43"/>
    <w:rsid w:val="00B21354"/>
    <w:rsid w:val="00B215FA"/>
    <w:rsid w:val="00B22222"/>
    <w:rsid w:val="00B256FB"/>
    <w:rsid w:val="00B26BBD"/>
    <w:rsid w:val="00B26BC9"/>
    <w:rsid w:val="00B277AD"/>
    <w:rsid w:val="00B27C3F"/>
    <w:rsid w:val="00B27D67"/>
    <w:rsid w:val="00B30BD4"/>
    <w:rsid w:val="00B30DD8"/>
    <w:rsid w:val="00B31578"/>
    <w:rsid w:val="00B3291D"/>
    <w:rsid w:val="00B35FFA"/>
    <w:rsid w:val="00B3641B"/>
    <w:rsid w:val="00B366E9"/>
    <w:rsid w:val="00B36CF6"/>
    <w:rsid w:val="00B37514"/>
    <w:rsid w:val="00B37A4A"/>
    <w:rsid w:val="00B37DE3"/>
    <w:rsid w:val="00B40CE8"/>
    <w:rsid w:val="00B40E35"/>
    <w:rsid w:val="00B40F84"/>
    <w:rsid w:val="00B41502"/>
    <w:rsid w:val="00B42877"/>
    <w:rsid w:val="00B42A08"/>
    <w:rsid w:val="00B442DB"/>
    <w:rsid w:val="00B463FA"/>
    <w:rsid w:val="00B467D3"/>
    <w:rsid w:val="00B468CC"/>
    <w:rsid w:val="00B5121E"/>
    <w:rsid w:val="00B5168E"/>
    <w:rsid w:val="00B5174E"/>
    <w:rsid w:val="00B51D65"/>
    <w:rsid w:val="00B52227"/>
    <w:rsid w:val="00B52DDD"/>
    <w:rsid w:val="00B52E34"/>
    <w:rsid w:val="00B53F1C"/>
    <w:rsid w:val="00B540C4"/>
    <w:rsid w:val="00B5502A"/>
    <w:rsid w:val="00B55B50"/>
    <w:rsid w:val="00B560F4"/>
    <w:rsid w:val="00B56F59"/>
    <w:rsid w:val="00B575C3"/>
    <w:rsid w:val="00B57694"/>
    <w:rsid w:val="00B602C1"/>
    <w:rsid w:val="00B60844"/>
    <w:rsid w:val="00B609A0"/>
    <w:rsid w:val="00B60A1B"/>
    <w:rsid w:val="00B6112E"/>
    <w:rsid w:val="00B618E6"/>
    <w:rsid w:val="00B61BAF"/>
    <w:rsid w:val="00B61E81"/>
    <w:rsid w:val="00B61FB2"/>
    <w:rsid w:val="00B62254"/>
    <w:rsid w:val="00B6270A"/>
    <w:rsid w:val="00B64397"/>
    <w:rsid w:val="00B643BD"/>
    <w:rsid w:val="00B643F1"/>
    <w:rsid w:val="00B644B1"/>
    <w:rsid w:val="00B64AE2"/>
    <w:rsid w:val="00B651D1"/>
    <w:rsid w:val="00B65560"/>
    <w:rsid w:val="00B65690"/>
    <w:rsid w:val="00B66381"/>
    <w:rsid w:val="00B66A7E"/>
    <w:rsid w:val="00B66E2D"/>
    <w:rsid w:val="00B66ED7"/>
    <w:rsid w:val="00B7008E"/>
    <w:rsid w:val="00B70199"/>
    <w:rsid w:val="00B702AD"/>
    <w:rsid w:val="00B70670"/>
    <w:rsid w:val="00B70A2C"/>
    <w:rsid w:val="00B71358"/>
    <w:rsid w:val="00B71A48"/>
    <w:rsid w:val="00B721A4"/>
    <w:rsid w:val="00B72210"/>
    <w:rsid w:val="00B7298C"/>
    <w:rsid w:val="00B73480"/>
    <w:rsid w:val="00B73DAC"/>
    <w:rsid w:val="00B73E07"/>
    <w:rsid w:val="00B740E4"/>
    <w:rsid w:val="00B740FC"/>
    <w:rsid w:val="00B756F9"/>
    <w:rsid w:val="00B770E1"/>
    <w:rsid w:val="00B77577"/>
    <w:rsid w:val="00B80763"/>
    <w:rsid w:val="00B82429"/>
    <w:rsid w:val="00B83D84"/>
    <w:rsid w:val="00B843FE"/>
    <w:rsid w:val="00B84834"/>
    <w:rsid w:val="00B851D4"/>
    <w:rsid w:val="00B86403"/>
    <w:rsid w:val="00B86F4B"/>
    <w:rsid w:val="00B9020E"/>
    <w:rsid w:val="00B905AF"/>
    <w:rsid w:val="00B9092D"/>
    <w:rsid w:val="00B91411"/>
    <w:rsid w:val="00B917F4"/>
    <w:rsid w:val="00B94A5F"/>
    <w:rsid w:val="00B952EB"/>
    <w:rsid w:val="00B968B4"/>
    <w:rsid w:val="00B97091"/>
    <w:rsid w:val="00BA0113"/>
    <w:rsid w:val="00BA0E46"/>
    <w:rsid w:val="00BA0E85"/>
    <w:rsid w:val="00BA0FB4"/>
    <w:rsid w:val="00BA1BCA"/>
    <w:rsid w:val="00BA1EC0"/>
    <w:rsid w:val="00BA3BB6"/>
    <w:rsid w:val="00BA3ECD"/>
    <w:rsid w:val="00BA3F89"/>
    <w:rsid w:val="00BA4C1A"/>
    <w:rsid w:val="00BA5F81"/>
    <w:rsid w:val="00BA6387"/>
    <w:rsid w:val="00BA6842"/>
    <w:rsid w:val="00BA7C4D"/>
    <w:rsid w:val="00BB06FF"/>
    <w:rsid w:val="00BB1DE0"/>
    <w:rsid w:val="00BB2246"/>
    <w:rsid w:val="00BB2D36"/>
    <w:rsid w:val="00BB4F4F"/>
    <w:rsid w:val="00BB58D0"/>
    <w:rsid w:val="00BB5EDD"/>
    <w:rsid w:val="00BB77D8"/>
    <w:rsid w:val="00BB799A"/>
    <w:rsid w:val="00BC10B1"/>
    <w:rsid w:val="00BC1513"/>
    <w:rsid w:val="00BC1608"/>
    <w:rsid w:val="00BC2B40"/>
    <w:rsid w:val="00BC2CA2"/>
    <w:rsid w:val="00BC3692"/>
    <w:rsid w:val="00BC37D6"/>
    <w:rsid w:val="00BC38B2"/>
    <w:rsid w:val="00BC3C39"/>
    <w:rsid w:val="00BC40A4"/>
    <w:rsid w:val="00BC454B"/>
    <w:rsid w:val="00BC4FA0"/>
    <w:rsid w:val="00BC673C"/>
    <w:rsid w:val="00BC7DD7"/>
    <w:rsid w:val="00BD10EC"/>
    <w:rsid w:val="00BD1936"/>
    <w:rsid w:val="00BD20ED"/>
    <w:rsid w:val="00BD21FF"/>
    <w:rsid w:val="00BD3009"/>
    <w:rsid w:val="00BD3AE6"/>
    <w:rsid w:val="00BD3CC9"/>
    <w:rsid w:val="00BD4D2B"/>
    <w:rsid w:val="00BD5F62"/>
    <w:rsid w:val="00BD6339"/>
    <w:rsid w:val="00BD64CA"/>
    <w:rsid w:val="00BD665E"/>
    <w:rsid w:val="00BD6804"/>
    <w:rsid w:val="00BD719F"/>
    <w:rsid w:val="00BD731C"/>
    <w:rsid w:val="00BD7399"/>
    <w:rsid w:val="00BD769F"/>
    <w:rsid w:val="00BD7A69"/>
    <w:rsid w:val="00BE062F"/>
    <w:rsid w:val="00BE070F"/>
    <w:rsid w:val="00BE26AD"/>
    <w:rsid w:val="00BE2889"/>
    <w:rsid w:val="00BE3E6D"/>
    <w:rsid w:val="00BE4216"/>
    <w:rsid w:val="00BE6992"/>
    <w:rsid w:val="00BE6BB1"/>
    <w:rsid w:val="00BE7683"/>
    <w:rsid w:val="00BE7ED9"/>
    <w:rsid w:val="00BF044F"/>
    <w:rsid w:val="00BF05CE"/>
    <w:rsid w:val="00BF0AB4"/>
    <w:rsid w:val="00BF19CB"/>
    <w:rsid w:val="00BF2599"/>
    <w:rsid w:val="00BF2860"/>
    <w:rsid w:val="00BF341B"/>
    <w:rsid w:val="00BF404C"/>
    <w:rsid w:val="00BF4E5C"/>
    <w:rsid w:val="00BF53A6"/>
    <w:rsid w:val="00BF54CD"/>
    <w:rsid w:val="00BF5824"/>
    <w:rsid w:val="00BF5A87"/>
    <w:rsid w:val="00BF6B8F"/>
    <w:rsid w:val="00BF7728"/>
    <w:rsid w:val="00C004BB"/>
    <w:rsid w:val="00C009F1"/>
    <w:rsid w:val="00C01191"/>
    <w:rsid w:val="00C015E8"/>
    <w:rsid w:val="00C01E92"/>
    <w:rsid w:val="00C03BEB"/>
    <w:rsid w:val="00C03DF7"/>
    <w:rsid w:val="00C040A1"/>
    <w:rsid w:val="00C05D57"/>
    <w:rsid w:val="00C06069"/>
    <w:rsid w:val="00C0668F"/>
    <w:rsid w:val="00C06CE4"/>
    <w:rsid w:val="00C07186"/>
    <w:rsid w:val="00C0719E"/>
    <w:rsid w:val="00C07378"/>
    <w:rsid w:val="00C10877"/>
    <w:rsid w:val="00C1116F"/>
    <w:rsid w:val="00C111CB"/>
    <w:rsid w:val="00C11A84"/>
    <w:rsid w:val="00C12383"/>
    <w:rsid w:val="00C12853"/>
    <w:rsid w:val="00C130E9"/>
    <w:rsid w:val="00C13188"/>
    <w:rsid w:val="00C14017"/>
    <w:rsid w:val="00C151B5"/>
    <w:rsid w:val="00C20198"/>
    <w:rsid w:val="00C2089E"/>
    <w:rsid w:val="00C20E30"/>
    <w:rsid w:val="00C21345"/>
    <w:rsid w:val="00C226E2"/>
    <w:rsid w:val="00C22B91"/>
    <w:rsid w:val="00C233AB"/>
    <w:rsid w:val="00C23817"/>
    <w:rsid w:val="00C23963"/>
    <w:rsid w:val="00C239F9"/>
    <w:rsid w:val="00C23D76"/>
    <w:rsid w:val="00C2401B"/>
    <w:rsid w:val="00C247F7"/>
    <w:rsid w:val="00C24DFE"/>
    <w:rsid w:val="00C24E20"/>
    <w:rsid w:val="00C25B18"/>
    <w:rsid w:val="00C27AAA"/>
    <w:rsid w:val="00C305AE"/>
    <w:rsid w:val="00C31FB0"/>
    <w:rsid w:val="00C3212E"/>
    <w:rsid w:val="00C32383"/>
    <w:rsid w:val="00C32724"/>
    <w:rsid w:val="00C33715"/>
    <w:rsid w:val="00C34E37"/>
    <w:rsid w:val="00C34F95"/>
    <w:rsid w:val="00C3587E"/>
    <w:rsid w:val="00C36F80"/>
    <w:rsid w:val="00C375D3"/>
    <w:rsid w:val="00C37713"/>
    <w:rsid w:val="00C37BD9"/>
    <w:rsid w:val="00C37DD6"/>
    <w:rsid w:val="00C403B7"/>
    <w:rsid w:val="00C412BE"/>
    <w:rsid w:val="00C424D9"/>
    <w:rsid w:val="00C42D82"/>
    <w:rsid w:val="00C43A64"/>
    <w:rsid w:val="00C447AF"/>
    <w:rsid w:val="00C46979"/>
    <w:rsid w:val="00C4719F"/>
    <w:rsid w:val="00C517EF"/>
    <w:rsid w:val="00C51E66"/>
    <w:rsid w:val="00C521FC"/>
    <w:rsid w:val="00C5256E"/>
    <w:rsid w:val="00C53EBB"/>
    <w:rsid w:val="00C54F77"/>
    <w:rsid w:val="00C55026"/>
    <w:rsid w:val="00C556AE"/>
    <w:rsid w:val="00C557FA"/>
    <w:rsid w:val="00C559D1"/>
    <w:rsid w:val="00C55F11"/>
    <w:rsid w:val="00C55F31"/>
    <w:rsid w:val="00C57844"/>
    <w:rsid w:val="00C60C88"/>
    <w:rsid w:val="00C6200D"/>
    <w:rsid w:val="00C623A2"/>
    <w:rsid w:val="00C62C76"/>
    <w:rsid w:val="00C6305D"/>
    <w:rsid w:val="00C641AB"/>
    <w:rsid w:val="00C642E3"/>
    <w:rsid w:val="00C64D29"/>
    <w:rsid w:val="00C652FE"/>
    <w:rsid w:val="00C66415"/>
    <w:rsid w:val="00C66725"/>
    <w:rsid w:val="00C67190"/>
    <w:rsid w:val="00C674A6"/>
    <w:rsid w:val="00C703BE"/>
    <w:rsid w:val="00C70604"/>
    <w:rsid w:val="00C706B6"/>
    <w:rsid w:val="00C70A30"/>
    <w:rsid w:val="00C70D80"/>
    <w:rsid w:val="00C73610"/>
    <w:rsid w:val="00C7419D"/>
    <w:rsid w:val="00C745B8"/>
    <w:rsid w:val="00C746E4"/>
    <w:rsid w:val="00C7534A"/>
    <w:rsid w:val="00C75703"/>
    <w:rsid w:val="00C769FE"/>
    <w:rsid w:val="00C76BB5"/>
    <w:rsid w:val="00C77ADD"/>
    <w:rsid w:val="00C77E75"/>
    <w:rsid w:val="00C80464"/>
    <w:rsid w:val="00C8073D"/>
    <w:rsid w:val="00C81508"/>
    <w:rsid w:val="00C82250"/>
    <w:rsid w:val="00C82EA1"/>
    <w:rsid w:val="00C82FB1"/>
    <w:rsid w:val="00C8327A"/>
    <w:rsid w:val="00C8342E"/>
    <w:rsid w:val="00C83696"/>
    <w:rsid w:val="00C8393A"/>
    <w:rsid w:val="00C83D03"/>
    <w:rsid w:val="00C83E22"/>
    <w:rsid w:val="00C84F26"/>
    <w:rsid w:val="00C8543C"/>
    <w:rsid w:val="00C86637"/>
    <w:rsid w:val="00C87380"/>
    <w:rsid w:val="00C874D1"/>
    <w:rsid w:val="00C87E3A"/>
    <w:rsid w:val="00C87E8E"/>
    <w:rsid w:val="00C907DA"/>
    <w:rsid w:val="00C91274"/>
    <w:rsid w:val="00C91295"/>
    <w:rsid w:val="00C9171E"/>
    <w:rsid w:val="00C922AD"/>
    <w:rsid w:val="00C92606"/>
    <w:rsid w:val="00C92D22"/>
    <w:rsid w:val="00C94253"/>
    <w:rsid w:val="00C94547"/>
    <w:rsid w:val="00C94EAF"/>
    <w:rsid w:val="00C97975"/>
    <w:rsid w:val="00C97BB7"/>
    <w:rsid w:val="00CA1489"/>
    <w:rsid w:val="00CA2600"/>
    <w:rsid w:val="00CA28A8"/>
    <w:rsid w:val="00CA29C4"/>
    <w:rsid w:val="00CA2A6C"/>
    <w:rsid w:val="00CA2EC4"/>
    <w:rsid w:val="00CA351A"/>
    <w:rsid w:val="00CA4893"/>
    <w:rsid w:val="00CA77F8"/>
    <w:rsid w:val="00CB1057"/>
    <w:rsid w:val="00CB11C2"/>
    <w:rsid w:val="00CB1892"/>
    <w:rsid w:val="00CB2012"/>
    <w:rsid w:val="00CB34ED"/>
    <w:rsid w:val="00CB4D81"/>
    <w:rsid w:val="00CB4F8A"/>
    <w:rsid w:val="00CB594A"/>
    <w:rsid w:val="00CB5F5F"/>
    <w:rsid w:val="00CB6CB7"/>
    <w:rsid w:val="00CB6E56"/>
    <w:rsid w:val="00CB6FEF"/>
    <w:rsid w:val="00CC0623"/>
    <w:rsid w:val="00CC0AD0"/>
    <w:rsid w:val="00CC1336"/>
    <w:rsid w:val="00CC1AD1"/>
    <w:rsid w:val="00CC4040"/>
    <w:rsid w:val="00CC44B3"/>
    <w:rsid w:val="00CC4CE1"/>
    <w:rsid w:val="00CC4E1C"/>
    <w:rsid w:val="00CC51AB"/>
    <w:rsid w:val="00CC5210"/>
    <w:rsid w:val="00CC5D30"/>
    <w:rsid w:val="00CC6E4A"/>
    <w:rsid w:val="00CC6EEA"/>
    <w:rsid w:val="00CC721D"/>
    <w:rsid w:val="00CC73F8"/>
    <w:rsid w:val="00CC774A"/>
    <w:rsid w:val="00CC7B32"/>
    <w:rsid w:val="00CC7D6B"/>
    <w:rsid w:val="00CD00B4"/>
    <w:rsid w:val="00CD1D63"/>
    <w:rsid w:val="00CD2C0B"/>
    <w:rsid w:val="00CD2C83"/>
    <w:rsid w:val="00CD2E9C"/>
    <w:rsid w:val="00CD2FBE"/>
    <w:rsid w:val="00CD36BB"/>
    <w:rsid w:val="00CD4166"/>
    <w:rsid w:val="00CD478F"/>
    <w:rsid w:val="00CD47BD"/>
    <w:rsid w:val="00CD62AE"/>
    <w:rsid w:val="00CD68FB"/>
    <w:rsid w:val="00CD6C8D"/>
    <w:rsid w:val="00CD6E0B"/>
    <w:rsid w:val="00CD72E1"/>
    <w:rsid w:val="00CD78E0"/>
    <w:rsid w:val="00CD7CC8"/>
    <w:rsid w:val="00CE00A2"/>
    <w:rsid w:val="00CE16EE"/>
    <w:rsid w:val="00CE26A5"/>
    <w:rsid w:val="00CE2A00"/>
    <w:rsid w:val="00CE5BBD"/>
    <w:rsid w:val="00CE68C4"/>
    <w:rsid w:val="00CE6E74"/>
    <w:rsid w:val="00CE72AC"/>
    <w:rsid w:val="00CE7B0D"/>
    <w:rsid w:val="00CF0024"/>
    <w:rsid w:val="00CF0ABA"/>
    <w:rsid w:val="00CF1B0A"/>
    <w:rsid w:val="00CF1CA9"/>
    <w:rsid w:val="00CF25DD"/>
    <w:rsid w:val="00CF2D79"/>
    <w:rsid w:val="00CF4346"/>
    <w:rsid w:val="00CF5777"/>
    <w:rsid w:val="00CF5BE3"/>
    <w:rsid w:val="00CF6D7D"/>
    <w:rsid w:val="00CF7516"/>
    <w:rsid w:val="00CF7ABA"/>
    <w:rsid w:val="00D002AE"/>
    <w:rsid w:val="00D02796"/>
    <w:rsid w:val="00D02DC5"/>
    <w:rsid w:val="00D02E35"/>
    <w:rsid w:val="00D0329D"/>
    <w:rsid w:val="00D033E3"/>
    <w:rsid w:val="00D0384D"/>
    <w:rsid w:val="00D0414F"/>
    <w:rsid w:val="00D04B22"/>
    <w:rsid w:val="00D066D7"/>
    <w:rsid w:val="00D06B1B"/>
    <w:rsid w:val="00D07F02"/>
    <w:rsid w:val="00D07F35"/>
    <w:rsid w:val="00D1167F"/>
    <w:rsid w:val="00D1257B"/>
    <w:rsid w:val="00D12F75"/>
    <w:rsid w:val="00D13CCD"/>
    <w:rsid w:val="00D13F4B"/>
    <w:rsid w:val="00D13FFF"/>
    <w:rsid w:val="00D14451"/>
    <w:rsid w:val="00D1463E"/>
    <w:rsid w:val="00D15950"/>
    <w:rsid w:val="00D15C15"/>
    <w:rsid w:val="00D1679C"/>
    <w:rsid w:val="00D16FFB"/>
    <w:rsid w:val="00D17130"/>
    <w:rsid w:val="00D1752C"/>
    <w:rsid w:val="00D1763A"/>
    <w:rsid w:val="00D1775C"/>
    <w:rsid w:val="00D17B2F"/>
    <w:rsid w:val="00D17CB8"/>
    <w:rsid w:val="00D20CB1"/>
    <w:rsid w:val="00D20DE9"/>
    <w:rsid w:val="00D215F1"/>
    <w:rsid w:val="00D22A31"/>
    <w:rsid w:val="00D23CDB"/>
    <w:rsid w:val="00D2429E"/>
    <w:rsid w:val="00D24CAE"/>
    <w:rsid w:val="00D25022"/>
    <w:rsid w:val="00D2766E"/>
    <w:rsid w:val="00D27C0F"/>
    <w:rsid w:val="00D27D3E"/>
    <w:rsid w:val="00D3112B"/>
    <w:rsid w:val="00D3113B"/>
    <w:rsid w:val="00D31CAB"/>
    <w:rsid w:val="00D32364"/>
    <w:rsid w:val="00D325A3"/>
    <w:rsid w:val="00D32BAE"/>
    <w:rsid w:val="00D32DC5"/>
    <w:rsid w:val="00D34346"/>
    <w:rsid w:val="00D3527A"/>
    <w:rsid w:val="00D356FC"/>
    <w:rsid w:val="00D35871"/>
    <w:rsid w:val="00D40786"/>
    <w:rsid w:val="00D407EF"/>
    <w:rsid w:val="00D410D1"/>
    <w:rsid w:val="00D4324B"/>
    <w:rsid w:val="00D434A0"/>
    <w:rsid w:val="00D4472F"/>
    <w:rsid w:val="00D44AD4"/>
    <w:rsid w:val="00D45215"/>
    <w:rsid w:val="00D4627A"/>
    <w:rsid w:val="00D467AB"/>
    <w:rsid w:val="00D46E56"/>
    <w:rsid w:val="00D477FA"/>
    <w:rsid w:val="00D47A91"/>
    <w:rsid w:val="00D50A15"/>
    <w:rsid w:val="00D50A4C"/>
    <w:rsid w:val="00D518C3"/>
    <w:rsid w:val="00D5281C"/>
    <w:rsid w:val="00D536FD"/>
    <w:rsid w:val="00D537B3"/>
    <w:rsid w:val="00D53907"/>
    <w:rsid w:val="00D53B42"/>
    <w:rsid w:val="00D53DF6"/>
    <w:rsid w:val="00D54296"/>
    <w:rsid w:val="00D550B0"/>
    <w:rsid w:val="00D559F1"/>
    <w:rsid w:val="00D56789"/>
    <w:rsid w:val="00D56CAB"/>
    <w:rsid w:val="00D60040"/>
    <w:rsid w:val="00D60652"/>
    <w:rsid w:val="00D61E85"/>
    <w:rsid w:val="00D64350"/>
    <w:rsid w:val="00D66BC2"/>
    <w:rsid w:val="00D67B6C"/>
    <w:rsid w:val="00D67EE1"/>
    <w:rsid w:val="00D70234"/>
    <w:rsid w:val="00D729E9"/>
    <w:rsid w:val="00D73B9C"/>
    <w:rsid w:val="00D73EFE"/>
    <w:rsid w:val="00D77ACB"/>
    <w:rsid w:val="00D77C35"/>
    <w:rsid w:val="00D803EF"/>
    <w:rsid w:val="00D80520"/>
    <w:rsid w:val="00D80E47"/>
    <w:rsid w:val="00D812CE"/>
    <w:rsid w:val="00D81967"/>
    <w:rsid w:val="00D82F1D"/>
    <w:rsid w:val="00D82FE9"/>
    <w:rsid w:val="00D84D19"/>
    <w:rsid w:val="00D85787"/>
    <w:rsid w:val="00D8616D"/>
    <w:rsid w:val="00D87187"/>
    <w:rsid w:val="00D87610"/>
    <w:rsid w:val="00D8772C"/>
    <w:rsid w:val="00D9016C"/>
    <w:rsid w:val="00D90B81"/>
    <w:rsid w:val="00D911D4"/>
    <w:rsid w:val="00D925D6"/>
    <w:rsid w:val="00D968A7"/>
    <w:rsid w:val="00D96ADB"/>
    <w:rsid w:val="00D97289"/>
    <w:rsid w:val="00DA05AA"/>
    <w:rsid w:val="00DA0D46"/>
    <w:rsid w:val="00DA0EC3"/>
    <w:rsid w:val="00DA1CAB"/>
    <w:rsid w:val="00DA1EC9"/>
    <w:rsid w:val="00DA2445"/>
    <w:rsid w:val="00DA2D3C"/>
    <w:rsid w:val="00DA2FF8"/>
    <w:rsid w:val="00DA3FCE"/>
    <w:rsid w:val="00DA421C"/>
    <w:rsid w:val="00DA4303"/>
    <w:rsid w:val="00DA4C42"/>
    <w:rsid w:val="00DA5017"/>
    <w:rsid w:val="00DA53B6"/>
    <w:rsid w:val="00DA570F"/>
    <w:rsid w:val="00DA7EA4"/>
    <w:rsid w:val="00DB0143"/>
    <w:rsid w:val="00DB0B07"/>
    <w:rsid w:val="00DB168C"/>
    <w:rsid w:val="00DB243F"/>
    <w:rsid w:val="00DB2B89"/>
    <w:rsid w:val="00DB2FC5"/>
    <w:rsid w:val="00DB31AD"/>
    <w:rsid w:val="00DB3EB7"/>
    <w:rsid w:val="00DB3F16"/>
    <w:rsid w:val="00DB4370"/>
    <w:rsid w:val="00DB475C"/>
    <w:rsid w:val="00DB5305"/>
    <w:rsid w:val="00DB5486"/>
    <w:rsid w:val="00DB6006"/>
    <w:rsid w:val="00DB6517"/>
    <w:rsid w:val="00DB6D56"/>
    <w:rsid w:val="00DB70E0"/>
    <w:rsid w:val="00DB7CC3"/>
    <w:rsid w:val="00DB7E31"/>
    <w:rsid w:val="00DC05C2"/>
    <w:rsid w:val="00DC15C2"/>
    <w:rsid w:val="00DC1A3C"/>
    <w:rsid w:val="00DC2370"/>
    <w:rsid w:val="00DC249B"/>
    <w:rsid w:val="00DC29DF"/>
    <w:rsid w:val="00DC313D"/>
    <w:rsid w:val="00DC35A0"/>
    <w:rsid w:val="00DC3F6F"/>
    <w:rsid w:val="00DC4DAF"/>
    <w:rsid w:val="00DC4F18"/>
    <w:rsid w:val="00DC5652"/>
    <w:rsid w:val="00DC679B"/>
    <w:rsid w:val="00DC7FB3"/>
    <w:rsid w:val="00DD06EA"/>
    <w:rsid w:val="00DD1C7B"/>
    <w:rsid w:val="00DD27D7"/>
    <w:rsid w:val="00DD2930"/>
    <w:rsid w:val="00DD46F3"/>
    <w:rsid w:val="00DD4727"/>
    <w:rsid w:val="00DD50C0"/>
    <w:rsid w:val="00DD5196"/>
    <w:rsid w:val="00DD6330"/>
    <w:rsid w:val="00DD70C4"/>
    <w:rsid w:val="00DE02B0"/>
    <w:rsid w:val="00DE04AC"/>
    <w:rsid w:val="00DE0966"/>
    <w:rsid w:val="00DE1570"/>
    <w:rsid w:val="00DE2435"/>
    <w:rsid w:val="00DE2C5B"/>
    <w:rsid w:val="00DE3B66"/>
    <w:rsid w:val="00DE6674"/>
    <w:rsid w:val="00DE66AB"/>
    <w:rsid w:val="00DE69B6"/>
    <w:rsid w:val="00DE777A"/>
    <w:rsid w:val="00DF221D"/>
    <w:rsid w:val="00DF3007"/>
    <w:rsid w:val="00DF397C"/>
    <w:rsid w:val="00DF3E5D"/>
    <w:rsid w:val="00DF4892"/>
    <w:rsid w:val="00DF6538"/>
    <w:rsid w:val="00DF75EE"/>
    <w:rsid w:val="00DF78A7"/>
    <w:rsid w:val="00DF7A25"/>
    <w:rsid w:val="00DF7D1B"/>
    <w:rsid w:val="00E00373"/>
    <w:rsid w:val="00E00B89"/>
    <w:rsid w:val="00E011B0"/>
    <w:rsid w:val="00E013E6"/>
    <w:rsid w:val="00E01643"/>
    <w:rsid w:val="00E02E2D"/>
    <w:rsid w:val="00E036F6"/>
    <w:rsid w:val="00E03FC0"/>
    <w:rsid w:val="00E045C0"/>
    <w:rsid w:val="00E045DF"/>
    <w:rsid w:val="00E05705"/>
    <w:rsid w:val="00E07B0C"/>
    <w:rsid w:val="00E10A8E"/>
    <w:rsid w:val="00E12E5A"/>
    <w:rsid w:val="00E13656"/>
    <w:rsid w:val="00E14B3D"/>
    <w:rsid w:val="00E14F6C"/>
    <w:rsid w:val="00E1550F"/>
    <w:rsid w:val="00E1701D"/>
    <w:rsid w:val="00E21355"/>
    <w:rsid w:val="00E214B6"/>
    <w:rsid w:val="00E216CB"/>
    <w:rsid w:val="00E21767"/>
    <w:rsid w:val="00E21CD5"/>
    <w:rsid w:val="00E21E67"/>
    <w:rsid w:val="00E223C0"/>
    <w:rsid w:val="00E2242A"/>
    <w:rsid w:val="00E228F4"/>
    <w:rsid w:val="00E22E1D"/>
    <w:rsid w:val="00E23221"/>
    <w:rsid w:val="00E2335F"/>
    <w:rsid w:val="00E24174"/>
    <w:rsid w:val="00E24B57"/>
    <w:rsid w:val="00E24E69"/>
    <w:rsid w:val="00E24FFC"/>
    <w:rsid w:val="00E25F92"/>
    <w:rsid w:val="00E267BB"/>
    <w:rsid w:val="00E27E3D"/>
    <w:rsid w:val="00E319C5"/>
    <w:rsid w:val="00E326CD"/>
    <w:rsid w:val="00E32A05"/>
    <w:rsid w:val="00E33254"/>
    <w:rsid w:val="00E3354B"/>
    <w:rsid w:val="00E338DA"/>
    <w:rsid w:val="00E33A8A"/>
    <w:rsid w:val="00E34344"/>
    <w:rsid w:val="00E353E5"/>
    <w:rsid w:val="00E35B3D"/>
    <w:rsid w:val="00E35F68"/>
    <w:rsid w:val="00E3661D"/>
    <w:rsid w:val="00E402F5"/>
    <w:rsid w:val="00E4166F"/>
    <w:rsid w:val="00E41862"/>
    <w:rsid w:val="00E434DE"/>
    <w:rsid w:val="00E43556"/>
    <w:rsid w:val="00E4386E"/>
    <w:rsid w:val="00E43A37"/>
    <w:rsid w:val="00E446C7"/>
    <w:rsid w:val="00E44E0E"/>
    <w:rsid w:val="00E44FE9"/>
    <w:rsid w:val="00E455FF"/>
    <w:rsid w:val="00E45982"/>
    <w:rsid w:val="00E4667B"/>
    <w:rsid w:val="00E46EE1"/>
    <w:rsid w:val="00E47260"/>
    <w:rsid w:val="00E47750"/>
    <w:rsid w:val="00E47EE8"/>
    <w:rsid w:val="00E504EB"/>
    <w:rsid w:val="00E50D95"/>
    <w:rsid w:val="00E50FBF"/>
    <w:rsid w:val="00E51186"/>
    <w:rsid w:val="00E512D8"/>
    <w:rsid w:val="00E513DF"/>
    <w:rsid w:val="00E51D74"/>
    <w:rsid w:val="00E53402"/>
    <w:rsid w:val="00E53425"/>
    <w:rsid w:val="00E54801"/>
    <w:rsid w:val="00E54E9C"/>
    <w:rsid w:val="00E55145"/>
    <w:rsid w:val="00E55874"/>
    <w:rsid w:val="00E55D28"/>
    <w:rsid w:val="00E5699C"/>
    <w:rsid w:val="00E57227"/>
    <w:rsid w:val="00E5776A"/>
    <w:rsid w:val="00E606B1"/>
    <w:rsid w:val="00E606BC"/>
    <w:rsid w:val="00E60860"/>
    <w:rsid w:val="00E60E41"/>
    <w:rsid w:val="00E61196"/>
    <w:rsid w:val="00E611E2"/>
    <w:rsid w:val="00E61758"/>
    <w:rsid w:val="00E61CE9"/>
    <w:rsid w:val="00E63FA6"/>
    <w:rsid w:val="00E64494"/>
    <w:rsid w:val="00E644CB"/>
    <w:rsid w:val="00E6494D"/>
    <w:rsid w:val="00E64994"/>
    <w:rsid w:val="00E64BEB"/>
    <w:rsid w:val="00E65720"/>
    <w:rsid w:val="00E66272"/>
    <w:rsid w:val="00E668AA"/>
    <w:rsid w:val="00E67B3B"/>
    <w:rsid w:val="00E67FF4"/>
    <w:rsid w:val="00E70BE0"/>
    <w:rsid w:val="00E70F6E"/>
    <w:rsid w:val="00E714CC"/>
    <w:rsid w:val="00E71826"/>
    <w:rsid w:val="00E71A3B"/>
    <w:rsid w:val="00E72FE4"/>
    <w:rsid w:val="00E7338C"/>
    <w:rsid w:val="00E73886"/>
    <w:rsid w:val="00E74829"/>
    <w:rsid w:val="00E74D2C"/>
    <w:rsid w:val="00E75368"/>
    <w:rsid w:val="00E76E37"/>
    <w:rsid w:val="00E8106A"/>
    <w:rsid w:val="00E817DC"/>
    <w:rsid w:val="00E82972"/>
    <w:rsid w:val="00E82D9C"/>
    <w:rsid w:val="00E82F95"/>
    <w:rsid w:val="00E83489"/>
    <w:rsid w:val="00E83A11"/>
    <w:rsid w:val="00E84C71"/>
    <w:rsid w:val="00E858B7"/>
    <w:rsid w:val="00E86DFC"/>
    <w:rsid w:val="00E872B0"/>
    <w:rsid w:val="00E87A88"/>
    <w:rsid w:val="00E90396"/>
    <w:rsid w:val="00E90741"/>
    <w:rsid w:val="00E9163B"/>
    <w:rsid w:val="00E91681"/>
    <w:rsid w:val="00E91AF1"/>
    <w:rsid w:val="00E91CF7"/>
    <w:rsid w:val="00E92718"/>
    <w:rsid w:val="00E931AA"/>
    <w:rsid w:val="00E93463"/>
    <w:rsid w:val="00E93990"/>
    <w:rsid w:val="00E93DCD"/>
    <w:rsid w:val="00E942A1"/>
    <w:rsid w:val="00E95764"/>
    <w:rsid w:val="00E95921"/>
    <w:rsid w:val="00E9640E"/>
    <w:rsid w:val="00E9660E"/>
    <w:rsid w:val="00E968CF"/>
    <w:rsid w:val="00E969A7"/>
    <w:rsid w:val="00E96DCE"/>
    <w:rsid w:val="00E96F7C"/>
    <w:rsid w:val="00EA041A"/>
    <w:rsid w:val="00EA288A"/>
    <w:rsid w:val="00EA28BE"/>
    <w:rsid w:val="00EA2B99"/>
    <w:rsid w:val="00EA2F77"/>
    <w:rsid w:val="00EA36C0"/>
    <w:rsid w:val="00EA3726"/>
    <w:rsid w:val="00EA4B0B"/>
    <w:rsid w:val="00EA6989"/>
    <w:rsid w:val="00EA6BAC"/>
    <w:rsid w:val="00EA73BA"/>
    <w:rsid w:val="00EA7757"/>
    <w:rsid w:val="00EB018E"/>
    <w:rsid w:val="00EB1A07"/>
    <w:rsid w:val="00EB1B5B"/>
    <w:rsid w:val="00EB2149"/>
    <w:rsid w:val="00EB6946"/>
    <w:rsid w:val="00EB698D"/>
    <w:rsid w:val="00EB6DE4"/>
    <w:rsid w:val="00EC027E"/>
    <w:rsid w:val="00EC14E3"/>
    <w:rsid w:val="00EC30D6"/>
    <w:rsid w:val="00EC3C37"/>
    <w:rsid w:val="00EC3E36"/>
    <w:rsid w:val="00EC51D1"/>
    <w:rsid w:val="00EC5498"/>
    <w:rsid w:val="00EC558C"/>
    <w:rsid w:val="00EC5811"/>
    <w:rsid w:val="00EC5858"/>
    <w:rsid w:val="00EC5905"/>
    <w:rsid w:val="00EC6249"/>
    <w:rsid w:val="00EC6484"/>
    <w:rsid w:val="00EC68AD"/>
    <w:rsid w:val="00EC6968"/>
    <w:rsid w:val="00EC77AF"/>
    <w:rsid w:val="00EC7822"/>
    <w:rsid w:val="00ED047C"/>
    <w:rsid w:val="00ED0CE6"/>
    <w:rsid w:val="00ED1147"/>
    <w:rsid w:val="00ED1C1A"/>
    <w:rsid w:val="00ED1C69"/>
    <w:rsid w:val="00ED3230"/>
    <w:rsid w:val="00ED3480"/>
    <w:rsid w:val="00ED3A4A"/>
    <w:rsid w:val="00ED3B10"/>
    <w:rsid w:val="00ED3B9B"/>
    <w:rsid w:val="00ED432A"/>
    <w:rsid w:val="00ED4745"/>
    <w:rsid w:val="00ED5AB6"/>
    <w:rsid w:val="00ED6A96"/>
    <w:rsid w:val="00ED72D2"/>
    <w:rsid w:val="00ED7BF0"/>
    <w:rsid w:val="00EE138B"/>
    <w:rsid w:val="00EE174E"/>
    <w:rsid w:val="00EE1C1F"/>
    <w:rsid w:val="00EE1DC8"/>
    <w:rsid w:val="00EE214A"/>
    <w:rsid w:val="00EE25AB"/>
    <w:rsid w:val="00EE26C6"/>
    <w:rsid w:val="00EE277A"/>
    <w:rsid w:val="00EE2F43"/>
    <w:rsid w:val="00EE32BB"/>
    <w:rsid w:val="00EE3732"/>
    <w:rsid w:val="00EE5143"/>
    <w:rsid w:val="00EE55A8"/>
    <w:rsid w:val="00EE72C1"/>
    <w:rsid w:val="00EF068B"/>
    <w:rsid w:val="00EF0A0E"/>
    <w:rsid w:val="00EF0D86"/>
    <w:rsid w:val="00EF1413"/>
    <w:rsid w:val="00EF1986"/>
    <w:rsid w:val="00EF21FC"/>
    <w:rsid w:val="00EF23C4"/>
    <w:rsid w:val="00EF3DA8"/>
    <w:rsid w:val="00EF42FF"/>
    <w:rsid w:val="00EF4B96"/>
    <w:rsid w:val="00EF4D4B"/>
    <w:rsid w:val="00EF6A0F"/>
    <w:rsid w:val="00EF6D57"/>
    <w:rsid w:val="00EF7651"/>
    <w:rsid w:val="00F00380"/>
    <w:rsid w:val="00F00DFD"/>
    <w:rsid w:val="00F01A5E"/>
    <w:rsid w:val="00F03004"/>
    <w:rsid w:val="00F03E45"/>
    <w:rsid w:val="00F04D2E"/>
    <w:rsid w:val="00F064B2"/>
    <w:rsid w:val="00F07786"/>
    <w:rsid w:val="00F077A5"/>
    <w:rsid w:val="00F1103B"/>
    <w:rsid w:val="00F1122B"/>
    <w:rsid w:val="00F11932"/>
    <w:rsid w:val="00F122DB"/>
    <w:rsid w:val="00F12413"/>
    <w:rsid w:val="00F1393C"/>
    <w:rsid w:val="00F1446E"/>
    <w:rsid w:val="00F151CA"/>
    <w:rsid w:val="00F16EA6"/>
    <w:rsid w:val="00F206CE"/>
    <w:rsid w:val="00F20925"/>
    <w:rsid w:val="00F20A95"/>
    <w:rsid w:val="00F20EB3"/>
    <w:rsid w:val="00F2122C"/>
    <w:rsid w:val="00F22675"/>
    <w:rsid w:val="00F2267D"/>
    <w:rsid w:val="00F22EA4"/>
    <w:rsid w:val="00F235DB"/>
    <w:rsid w:val="00F23FD1"/>
    <w:rsid w:val="00F24506"/>
    <w:rsid w:val="00F2487F"/>
    <w:rsid w:val="00F24B5A"/>
    <w:rsid w:val="00F24FD1"/>
    <w:rsid w:val="00F2598B"/>
    <w:rsid w:val="00F2681B"/>
    <w:rsid w:val="00F26847"/>
    <w:rsid w:val="00F269E5"/>
    <w:rsid w:val="00F26BC5"/>
    <w:rsid w:val="00F2741A"/>
    <w:rsid w:val="00F2757D"/>
    <w:rsid w:val="00F27A97"/>
    <w:rsid w:val="00F30D38"/>
    <w:rsid w:val="00F322AF"/>
    <w:rsid w:val="00F338A5"/>
    <w:rsid w:val="00F33B7B"/>
    <w:rsid w:val="00F33DE4"/>
    <w:rsid w:val="00F34044"/>
    <w:rsid w:val="00F340F2"/>
    <w:rsid w:val="00F34B48"/>
    <w:rsid w:val="00F35D1E"/>
    <w:rsid w:val="00F4003E"/>
    <w:rsid w:val="00F42323"/>
    <w:rsid w:val="00F42537"/>
    <w:rsid w:val="00F435A1"/>
    <w:rsid w:val="00F439D0"/>
    <w:rsid w:val="00F43A05"/>
    <w:rsid w:val="00F43FF8"/>
    <w:rsid w:val="00F444A6"/>
    <w:rsid w:val="00F44915"/>
    <w:rsid w:val="00F45465"/>
    <w:rsid w:val="00F471BC"/>
    <w:rsid w:val="00F47333"/>
    <w:rsid w:val="00F478D0"/>
    <w:rsid w:val="00F50560"/>
    <w:rsid w:val="00F51BE6"/>
    <w:rsid w:val="00F5311D"/>
    <w:rsid w:val="00F532D8"/>
    <w:rsid w:val="00F53503"/>
    <w:rsid w:val="00F53C53"/>
    <w:rsid w:val="00F562D9"/>
    <w:rsid w:val="00F56319"/>
    <w:rsid w:val="00F5641C"/>
    <w:rsid w:val="00F56EFB"/>
    <w:rsid w:val="00F57F2A"/>
    <w:rsid w:val="00F600F5"/>
    <w:rsid w:val="00F610E8"/>
    <w:rsid w:val="00F612DD"/>
    <w:rsid w:val="00F6161A"/>
    <w:rsid w:val="00F62293"/>
    <w:rsid w:val="00F623F4"/>
    <w:rsid w:val="00F62756"/>
    <w:rsid w:val="00F628F5"/>
    <w:rsid w:val="00F63593"/>
    <w:rsid w:val="00F63FB1"/>
    <w:rsid w:val="00F64236"/>
    <w:rsid w:val="00F6456F"/>
    <w:rsid w:val="00F64B20"/>
    <w:rsid w:val="00F6585C"/>
    <w:rsid w:val="00F65886"/>
    <w:rsid w:val="00F65F28"/>
    <w:rsid w:val="00F66A9B"/>
    <w:rsid w:val="00F67287"/>
    <w:rsid w:val="00F70315"/>
    <w:rsid w:val="00F710BA"/>
    <w:rsid w:val="00F72C65"/>
    <w:rsid w:val="00F72CFC"/>
    <w:rsid w:val="00F73FDD"/>
    <w:rsid w:val="00F74588"/>
    <w:rsid w:val="00F748CD"/>
    <w:rsid w:val="00F75A0A"/>
    <w:rsid w:val="00F7756C"/>
    <w:rsid w:val="00F77C78"/>
    <w:rsid w:val="00F82083"/>
    <w:rsid w:val="00F820D3"/>
    <w:rsid w:val="00F822F0"/>
    <w:rsid w:val="00F82F3F"/>
    <w:rsid w:val="00F82FE9"/>
    <w:rsid w:val="00F83D4A"/>
    <w:rsid w:val="00F83E27"/>
    <w:rsid w:val="00F84075"/>
    <w:rsid w:val="00F85996"/>
    <w:rsid w:val="00F85CF4"/>
    <w:rsid w:val="00F86AB1"/>
    <w:rsid w:val="00F90C53"/>
    <w:rsid w:val="00F90CC4"/>
    <w:rsid w:val="00F90E8C"/>
    <w:rsid w:val="00F915B5"/>
    <w:rsid w:val="00F930B8"/>
    <w:rsid w:val="00F93469"/>
    <w:rsid w:val="00F94012"/>
    <w:rsid w:val="00F943EF"/>
    <w:rsid w:val="00F94E14"/>
    <w:rsid w:val="00F95189"/>
    <w:rsid w:val="00F95784"/>
    <w:rsid w:val="00F9688A"/>
    <w:rsid w:val="00F96DC2"/>
    <w:rsid w:val="00F96E25"/>
    <w:rsid w:val="00F972EF"/>
    <w:rsid w:val="00F9759A"/>
    <w:rsid w:val="00F97BA5"/>
    <w:rsid w:val="00F97DD6"/>
    <w:rsid w:val="00FA034F"/>
    <w:rsid w:val="00FA1512"/>
    <w:rsid w:val="00FA2790"/>
    <w:rsid w:val="00FA4367"/>
    <w:rsid w:val="00FA6781"/>
    <w:rsid w:val="00FA7520"/>
    <w:rsid w:val="00FA7E42"/>
    <w:rsid w:val="00FA7F45"/>
    <w:rsid w:val="00FB1FA3"/>
    <w:rsid w:val="00FB2451"/>
    <w:rsid w:val="00FB296F"/>
    <w:rsid w:val="00FB2F0F"/>
    <w:rsid w:val="00FB371B"/>
    <w:rsid w:val="00FB4D1C"/>
    <w:rsid w:val="00FB51CD"/>
    <w:rsid w:val="00FB5D97"/>
    <w:rsid w:val="00FB60E9"/>
    <w:rsid w:val="00FB762C"/>
    <w:rsid w:val="00FC0BC3"/>
    <w:rsid w:val="00FC340D"/>
    <w:rsid w:val="00FC5459"/>
    <w:rsid w:val="00FC59CD"/>
    <w:rsid w:val="00FC5FAC"/>
    <w:rsid w:val="00FC67D4"/>
    <w:rsid w:val="00FC6886"/>
    <w:rsid w:val="00FC6B12"/>
    <w:rsid w:val="00FC7156"/>
    <w:rsid w:val="00FC7184"/>
    <w:rsid w:val="00FC7715"/>
    <w:rsid w:val="00FD068F"/>
    <w:rsid w:val="00FD0829"/>
    <w:rsid w:val="00FD21DF"/>
    <w:rsid w:val="00FD3D53"/>
    <w:rsid w:val="00FD67B5"/>
    <w:rsid w:val="00FD696E"/>
    <w:rsid w:val="00FD6995"/>
    <w:rsid w:val="00FE1884"/>
    <w:rsid w:val="00FE25F6"/>
    <w:rsid w:val="00FE3DA3"/>
    <w:rsid w:val="00FE5256"/>
    <w:rsid w:val="00FE5341"/>
    <w:rsid w:val="00FE643E"/>
    <w:rsid w:val="00FE694F"/>
    <w:rsid w:val="00FE7FE2"/>
    <w:rsid w:val="00FF124F"/>
    <w:rsid w:val="00FF127F"/>
    <w:rsid w:val="00FF149B"/>
    <w:rsid w:val="00FF1E99"/>
    <w:rsid w:val="00FF360B"/>
    <w:rsid w:val="00FF3761"/>
    <w:rsid w:val="00FF4322"/>
    <w:rsid w:val="00FF4594"/>
    <w:rsid w:val="00FF45BD"/>
    <w:rsid w:val="00FF491C"/>
    <w:rsid w:val="00FF67C6"/>
    <w:rsid w:val="00FF7A98"/>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90675A"/>
  <w14:defaultImageDpi w14:val="300"/>
  <w15:docId w15:val="{0D22BAC1-5956-44DE-A2ED-9D4707B3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66"/>
    <w:pPr>
      <w:spacing w:after="60"/>
    </w:pPr>
    <w:rPr>
      <w:rFonts w:ascii="Arial" w:hAnsi="Arial"/>
      <w:color w:val="52555B"/>
      <w:sz w:val="20"/>
    </w:rPr>
  </w:style>
  <w:style w:type="paragraph" w:styleId="Heading1">
    <w:name w:val="heading 1"/>
    <w:basedOn w:val="Normal"/>
    <w:next w:val="Normal"/>
    <w:link w:val="Heading1Char"/>
    <w:uiPriority w:val="9"/>
    <w:qFormat/>
    <w:rsid w:val="000C6773"/>
    <w:pPr>
      <w:jc w:val="center"/>
      <w:outlineLvl w:val="0"/>
    </w:pPr>
    <w:rPr>
      <w:b/>
      <w:color w:val="EE7624"/>
      <w:sz w:val="56"/>
      <w:szCs w:val="56"/>
    </w:rPr>
  </w:style>
  <w:style w:type="paragraph" w:styleId="Heading2">
    <w:name w:val="heading 2"/>
    <w:basedOn w:val="Normal"/>
    <w:next w:val="Normal"/>
    <w:link w:val="Heading2Char"/>
    <w:uiPriority w:val="9"/>
    <w:semiHidden/>
    <w:unhideWhenUsed/>
    <w:qFormat/>
    <w:rsid w:val="002344DD"/>
    <w:pPr>
      <w:keepNext/>
      <w:keepLines/>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717D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33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73"/>
    <w:rPr>
      <w:rFonts w:ascii="Arial" w:hAnsi="Arial"/>
      <w:b/>
      <w:color w:val="EE7624"/>
      <w:sz w:val="56"/>
      <w:szCs w:val="56"/>
    </w:rPr>
  </w:style>
  <w:style w:type="character" w:customStyle="1" w:styleId="Heading2Char">
    <w:name w:val="Heading 2 Char"/>
    <w:basedOn w:val="DefaultParagraphFont"/>
    <w:link w:val="Heading2"/>
    <w:uiPriority w:val="9"/>
    <w:semiHidden/>
    <w:rsid w:val="002344DD"/>
    <w:rPr>
      <w:rFonts w:ascii="Arial" w:eastAsiaTheme="majorEastAsia" w:hAnsi="Arial" w:cstheme="majorBidi"/>
      <w:b/>
      <w:bCs/>
      <w:color w:val="4F81BD" w:themeColor="accent1"/>
      <w:szCs w:val="26"/>
    </w:rPr>
  </w:style>
  <w:style w:type="character" w:customStyle="1" w:styleId="Heading3Char">
    <w:name w:val="Heading 3 Char"/>
    <w:basedOn w:val="DefaultParagraphFont"/>
    <w:link w:val="Heading3"/>
    <w:uiPriority w:val="9"/>
    <w:rsid w:val="00717D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33CA"/>
    <w:rPr>
      <w:rFonts w:asciiTheme="majorHAnsi" w:eastAsiaTheme="majorEastAsia" w:hAnsiTheme="majorHAnsi" w:cstheme="majorBidi"/>
      <w:i/>
      <w:iCs/>
      <w:color w:val="365F91" w:themeColor="accent1" w:themeShade="BF"/>
      <w:sz w:val="20"/>
    </w:rPr>
  </w:style>
  <w:style w:type="paragraph" w:styleId="Header">
    <w:name w:val="header"/>
    <w:basedOn w:val="Normal"/>
    <w:link w:val="HeaderChar"/>
    <w:unhideWhenUsed/>
    <w:rsid w:val="00BB06FF"/>
    <w:pPr>
      <w:tabs>
        <w:tab w:val="center" w:pos="4320"/>
        <w:tab w:val="right" w:pos="8640"/>
      </w:tabs>
    </w:pPr>
  </w:style>
  <w:style w:type="character" w:customStyle="1" w:styleId="HeaderChar">
    <w:name w:val="Header Char"/>
    <w:basedOn w:val="DefaultParagraphFont"/>
    <w:link w:val="Header"/>
    <w:rsid w:val="00BB06FF"/>
  </w:style>
  <w:style w:type="paragraph" w:styleId="Footer">
    <w:name w:val="footer"/>
    <w:basedOn w:val="Normal"/>
    <w:link w:val="FooterChar"/>
    <w:uiPriority w:val="99"/>
    <w:unhideWhenUsed/>
    <w:rsid w:val="00BB06FF"/>
    <w:pPr>
      <w:tabs>
        <w:tab w:val="center" w:pos="4320"/>
        <w:tab w:val="right" w:pos="8640"/>
      </w:tabs>
    </w:pPr>
  </w:style>
  <w:style w:type="character" w:customStyle="1" w:styleId="FooterChar">
    <w:name w:val="Footer Char"/>
    <w:basedOn w:val="DefaultParagraphFont"/>
    <w:link w:val="Footer"/>
    <w:uiPriority w:val="99"/>
    <w:rsid w:val="00BB06FF"/>
  </w:style>
  <w:style w:type="paragraph" w:styleId="BalloonText">
    <w:name w:val="Balloon Text"/>
    <w:basedOn w:val="Normal"/>
    <w:link w:val="BalloonTextChar"/>
    <w:uiPriority w:val="99"/>
    <w:semiHidden/>
    <w:unhideWhenUsed/>
    <w:rsid w:val="00BB06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6FF"/>
    <w:rPr>
      <w:rFonts w:ascii="Lucida Grande" w:hAnsi="Lucida Grande" w:cs="Lucida Grande"/>
      <w:sz w:val="18"/>
      <w:szCs w:val="18"/>
    </w:rPr>
  </w:style>
  <w:style w:type="table" w:styleId="TableGrid">
    <w:name w:val="Table Grid"/>
    <w:basedOn w:val="TableNormal"/>
    <w:uiPriority w:val="39"/>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D4C"/>
    <w:pPr>
      <w:ind w:left="720"/>
      <w:contextualSpacing/>
    </w:pPr>
  </w:style>
  <w:style w:type="character" w:styleId="IntenseEmphasis">
    <w:name w:val="Intense Emphasis"/>
    <w:basedOn w:val="DefaultParagraphFont"/>
    <w:uiPriority w:val="21"/>
    <w:qFormat/>
    <w:rsid w:val="00717D4C"/>
    <w:rPr>
      <w:b/>
      <w:bCs/>
      <w:i/>
      <w:iCs/>
      <w:color w:val="4F81BD" w:themeColor="accent1"/>
    </w:rPr>
  </w:style>
  <w:style w:type="paragraph" w:styleId="FootnoteText">
    <w:name w:val="footnote text"/>
    <w:basedOn w:val="Normal"/>
    <w:link w:val="FootnoteTextChar"/>
    <w:uiPriority w:val="99"/>
    <w:unhideWhenUsed/>
    <w:rsid w:val="004A04FB"/>
    <w:pPr>
      <w:spacing w:after="0"/>
    </w:pPr>
    <w:rPr>
      <w:szCs w:val="20"/>
    </w:rPr>
  </w:style>
  <w:style w:type="character" w:customStyle="1" w:styleId="FootnoteTextChar">
    <w:name w:val="Footnote Text Char"/>
    <w:basedOn w:val="DefaultParagraphFont"/>
    <w:link w:val="FootnoteText"/>
    <w:uiPriority w:val="99"/>
    <w:rsid w:val="004A04FB"/>
    <w:rPr>
      <w:rFonts w:ascii="Calibri" w:hAnsi="Calibri"/>
      <w:color w:val="52555B"/>
      <w:sz w:val="20"/>
      <w:szCs w:val="20"/>
    </w:rPr>
  </w:style>
  <w:style w:type="character" w:styleId="FootnoteReference">
    <w:name w:val="footnote reference"/>
    <w:basedOn w:val="DefaultParagraphFont"/>
    <w:uiPriority w:val="99"/>
    <w:semiHidden/>
    <w:unhideWhenUsed/>
    <w:rsid w:val="004A04FB"/>
    <w:rPr>
      <w:vertAlign w:val="superscript"/>
    </w:rPr>
  </w:style>
  <w:style w:type="paragraph" w:customStyle="1" w:styleId="HHLMainHeading">
    <w:name w:val="HHL Main Heading"/>
    <w:next w:val="HHLBodyText"/>
    <w:qFormat/>
    <w:rsid w:val="00F42537"/>
    <w:pPr>
      <w:numPr>
        <w:numId w:val="3"/>
      </w:numPr>
      <w:spacing w:before="240" w:after="120"/>
      <w:outlineLvl w:val="0"/>
    </w:pPr>
    <w:rPr>
      <w:rFonts w:ascii="Arial" w:hAnsi="Arial"/>
      <w:b/>
      <w:color w:val="EE7624"/>
      <w:sz w:val="28"/>
    </w:rPr>
  </w:style>
  <w:style w:type="paragraph" w:customStyle="1" w:styleId="HHLBodyText">
    <w:name w:val="HHL Body Text"/>
    <w:basedOn w:val="Normal"/>
    <w:qFormat/>
    <w:rsid w:val="00D4324B"/>
    <w:pPr>
      <w:spacing w:before="120" w:after="120"/>
    </w:pPr>
    <w:rPr>
      <w:color w:val="auto"/>
      <w:sz w:val="24"/>
    </w:rPr>
  </w:style>
  <w:style w:type="paragraph" w:customStyle="1" w:styleId="HHLSubHeading">
    <w:name w:val="HHL Sub Heading"/>
    <w:next w:val="HHLBodyText"/>
    <w:qFormat/>
    <w:rsid w:val="009C6CE1"/>
    <w:pPr>
      <w:numPr>
        <w:ilvl w:val="1"/>
        <w:numId w:val="3"/>
      </w:numPr>
      <w:spacing w:before="240" w:after="120"/>
      <w:outlineLvl w:val="1"/>
    </w:pPr>
    <w:rPr>
      <w:rFonts w:ascii="Arial" w:hAnsi="Arial"/>
      <w:b/>
      <w:color w:val="EE7624"/>
      <w:sz w:val="26"/>
    </w:rPr>
  </w:style>
  <w:style w:type="paragraph" w:customStyle="1" w:styleId="HHLSubSubHeading">
    <w:name w:val="HHL Sub Sub Heading"/>
    <w:next w:val="HHLBodyText"/>
    <w:qFormat/>
    <w:rsid w:val="00D4324B"/>
    <w:pPr>
      <w:numPr>
        <w:ilvl w:val="2"/>
        <w:numId w:val="3"/>
      </w:numPr>
      <w:spacing w:before="120" w:after="120"/>
      <w:outlineLvl w:val="2"/>
    </w:pPr>
    <w:rPr>
      <w:rFonts w:ascii="Arial" w:hAnsi="Arial"/>
      <w:b/>
      <w:color w:val="EE7624"/>
    </w:rPr>
  </w:style>
  <w:style w:type="paragraph" w:customStyle="1" w:styleId="HHLBullet">
    <w:name w:val="HHL Bullet"/>
    <w:basedOn w:val="ListParagraph"/>
    <w:qFormat/>
    <w:rsid w:val="00717D4C"/>
    <w:pPr>
      <w:numPr>
        <w:numId w:val="1"/>
      </w:numPr>
      <w:spacing w:after="0" w:line="276" w:lineRule="auto"/>
    </w:pPr>
    <w:rPr>
      <w:sz w:val="22"/>
    </w:rPr>
  </w:style>
  <w:style w:type="paragraph" w:customStyle="1" w:styleId="HHLNumbering">
    <w:name w:val="HHL Numbering"/>
    <w:basedOn w:val="ListParagraph"/>
    <w:qFormat/>
    <w:rsid w:val="00717D4C"/>
    <w:pPr>
      <w:numPr>
        <w:numId w:val="2"/>
      </w:numPr>
      <w:spacing w:after="0" w:line="276" w:lineRule="auto"/>
    </w:pPr>
    <w:rPr>
      <w:sz w:val="22"/>
    </w:rPr>
  </w:style>
  <w:style w:type="paragraph" w:customStyle="1" w:styleId="HHLTableHeading">
    <w:name w:val="HHL Table Heading"/>
    <w:basedOn w:val="Normal"/>
    <w:qFormat/>
    <w:rsid w:val="00717D4C"/>
    <w:pPr>
      <w:spacing w:after="120" w:line="276" w:lineRule="auto"/>
    </w:pPr>
    <w:rPr>
      <w:sz w:val="22"/>
      <w:u w:val="single"/>
    </w:rPr>
  </w:style>
  <w:style w:type="table" w:customStyle="1" w:styleId="HHLtable">
    <w:name w:val="HHL table"/>
    <w:basedOn w:val="LightList"/>
    <w:uiPriority w:val="99"/>
    <w:rsid w:val="002A2B1A"/>
    <w:tblPr/>
    <w:tblStylePr w:type="firstRow">
      <w:pPr>
        <w:spacing w:before="0" w:after="0" w:line="240" w:lineRule="auto"/>
      </w:pPr>
      <w:rPr>
        <w:b/>
        <w:bCs/>
        <w:color w:val="FFFFFF" w:themeColor="background1"/>
      </w:rPr>
      <w:tblPr/>
      <w:tcPr>
        <w:shd w:val="clear" w:color="auto" w:fill="31849B" w:themeFill="accent5" w:themeFillShade="BF"/>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2A2B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unhideWhenUsed/>
    <w:rsid w:val="00664BA7"/>
    <w:pPr>
      <w:tabs>
        <w:tab w:val="left" w:pos="567"/>
        <w:tab w:val="left" w:pos="1418"/>
        <w:tab w:val="right" w:leader="dot" w:pos="9498"/>
      </w:tabs>
      <w:spacing w:before="240" w:after="120"/>
      <w:ind w:right="216"/>
    </w:pPr>
    <w:rPr>
      <w:b/>
      <w:bCs/>
      <w:caps/>
      <w:noProof/>
      <w:color w:val="auto"/>
      <w:sz w:val="24"/>
      <w:szCs w:val="28"/>
    </w:rPr>
  </w:style>
  <w:style w:type="paragraph" w:styleId="TOC2">
    <w:name w:val="toc 2"/>
    <w:basedOn w:val="Normal"/>
    <w:next w:val="Normal"/>
    <w:autoRedefine/>
    <w:uiPriority w:val="39"/>
    <w:unhideWhenUsed/>
    <w:rsid w:val="00664BA7"/>
    <w:pPr>
      <w:tabs>
        <w:tab w:val="left" w:pos="567"/>
        <w:tab w:val="left" w:pos="1418"/>
        <w:tab w:val="right" w:leader="dot" w:pos="9498"/>
      </w:tabs>
      <w:spacing w:after="120"/>
    </w:pPr>
    <w:rPr>
      <w:bCs/>
      <w:noProof/>
      <w:color w:val="auto"/>
      <w:sz w:val="24"/>
    </w:rPr>
  </w:style>
  <w:style w:type="paragraph" w:styleId="TOC3">
    <w:name w:val="toc 3"/>
    <w:basedOn w:val="Normal"/>
    <w:next w:val="Normal"/>
    <w:autoRedefine/>
    <w:uiPriority w:val="39"/>
    <w:unhideWhenUsed/>
    <w:rsid w:val="00242EBE"/>
    <w:pPr>
      <w:spacing w:after="120"/>
      <w:ind w:left="144"/>
    </w:pPr>
    <w:rPr>
      <w:color w:val="auto"/>
      <w:sz w:val="22"/>
      <w:szCs w:val="20"/>
    </w:rPr>
  </w:style>
  <w:style w:type="paragraph" w:styleId="TOC4">
    <w:name w:val="toc 4"/>
    <w:basedOn w:val="Normal"/>
    <w:next w:val="Normal"/>
    <w:autoRedefine/>
    <w:uiPriority w:val="39"/>
    <w:unhideWhenUsed/>
    <w:rsid w:val="00BB77D8"/>
    <w:pPr>
      <w:spacing w:after="0"/>
      <w:ind w:left="480"/>
    </w:pPr>
    <w:rPr>
      <w:szCs w:val="20"/>
    </w:rPr>
  </w:style>
  <w:style w:type="paragraph" w:styleId="TOC5">
    <w:name w:val="toc 5"/>
    <w:basedOn w:val="Normal"/>
    <w:next w:val="Normal"/>
    <w:autoRedefine/>
    <w:uiPriority w:val="39"/>
    <w:unhideWhenUsed/>
    <w:rsid w:val="00BB77D8"/>
    <w:pPr>
      <w:spacing w:after="0"/>
      <w:ind w:left="720"/>
    </w:pPr>
    <w:rPr>
      <w:szCs w:val="20"/>
    </w:rPr>
  </w:style>
  <w:style w:type="paragraph" w:styleId="TOC6">
    <w:name w:val="toc 6"/>
    <w:basedOn w:val="Normal"/>
    <w:next w:val="Normal"/>
    <w:autoRedefine/>
    <w:uiPriority w:val="39"/>
    <w:unhideWhenUsed/>
    <w:rsid w:val="00F151CA"/>
    <w:pPr>
      <w:spacing w:after="0"/>
      <w:ind w:left="960"/>
    </w:pPr>
    <w:rPr>
      <w:rFonts w:asciiTheme="minorHAnsi" w:hAnsiTheme="minorHAnsi"/>
      <w:szCs w:val="20"/>
    </w:rPr>
  </w:style>
  <w:style w:type="paragraph" w:styleId="TOC7">
    <w:name w:val="toc 7"/>
    <w:basedOn w:val="Normal"/>
    <w:next w:val="Normal"/>
    <w:autoRedefine/>
    <w:uiPriority w:val="39"/>
    <w:unhideWhenUsed/>
    <w:rsid w:val="00F151CA"/>
    <w:pPr>
      <w:spacing w:after="0"/>
      <w:ind w:left="1200"/>
    </w:pPr>
    <w:rPr>
      <w:rFonts w:asciiTheme="minorHAnsi" w:hAnsiTheme="minorHAnsi"/>
      <w:szCs w:val="20"/>
    </w:rPr>
  </w:style>
  <w:style w:type="paragraph" w:styleId="TOC8">
    <w:name w:val="toc 8"/>
    <w:basedOn w:val="Normal"/>
    <w:next w:val="Normal"/>
    <w:autoRedefine/>
    <w:uiPriority w:val="39"/>
    <w:unhideWhenUsed/>
    <w:rsid w:val="00F151CA"/>
    <w:pPr>
      <w:spacing w:after="0"/>
      <w:ind w:left="1440"/>
    </w:pPr>
    <w:rPr>
      <w:rFonts w:asciiTheme="minorHAnsi" w:hAnsiTheme="minorHAnsi"/>
      <w:szCs w:val="20"/>
    </w:rPr>
  </w:style>
  <w:style w:type="paragraph" w:styleId="TOC9">
    <w:name w:val="toc 9"/>
    <w:basedOn w:val="Normal"/>
    <w:next w:val="Normal"/>
    <w:autoRedefine/>
    <w:uiPriority w:val="39"/>
    <w:unhideWhenUsed/>
    <w:rsid w:val="00F151CA"/>
    <w:pPr>
      <w:spacing w:after="0"/>
      <w:ind w:left="1680"/>
    </w:pPr>
    <w:rPr>
      <w:rFonts w:asciiTheme="minorHAnsi" w:hAnsiTheme="minorHAnsi"/>
      <w:szCs w:val="20"/>
    </w:rPr>
  </w:style>
  <w:style w:type="character" w:styleId="Hyperlink">
    <w:name w:val="Hyperlink"/>
    <w:basedOn w:val="DefaultParagraphFont"/>
    <w:uiPriority w:val="99"/>
    <w:unhideWhenUsed/>
    <w:qFormat/>
    <w:rsid w:val="00F151CA"/>
    <w:rPr>
      <w:color w:val="0000FF" w:themeColor="hyperlink"/>
      <w:u w:val="single"/>
    </w:rPr>
  </w:style>
  <w:style w:type="paragraph" w:customStyle="1" w:styleId="Covertitle">
    <w:name w:val="Covertitle"/>
    <w:link w:val="CovertitleChar"/>
    <w:rsid w:val="00903CF3"/>
    <w:pPr>
      <w:framePr w:hSpace="180" w:wrap="around" w:vAnchor="text" w:hAnchor="margin" w:xAlign="right" w:y="866"/>
      <w:jc w:val="right"/>
    </w:pPr>
    <w:rPr>
      <w:rFonts w:ascii="Arial" w:eastAsiaTheme="majorEastAsia" w:hAnsi="Arial" w:cs="Arial"/>
      <w:b/>
      <w:bCs/>
      <w:color w:val="7F7F7F" w:themeColor="text1" w:themeTint="80"/>
      <w:sz w:val="36"/>
      <w:szCs w:val="32"/>
    </w:rPr>
  </w:style>
  <w:style w:type="character" w:customStyle="1" w:styleId="CovertitleChar">
    <w:name w:val="Covertitle Char"/>
    <w:basedOn w:val="Heading1Char"/>
    <w:link w:val="Covertitle"/>
    <w:rsid w:val="00903CF3"/>
    <w:rPr>
      <w:rFonts w:ascii="Arial" w:eastAsiaTheme="majorEastAsia" w:hAnsi="Arial" w:cs="Arial"/>
      <w:b/>
      <w:bCs w:val="0"/>
      <w:color w:val="7F7F7F" w:themeColor="text1" w:themeTint="80"/>
      <w:sz w:val="36"/>
      <w:szCs w:val="32"/>
    </w:rPr>
  </w:style>
  <w:style w:type="paragraph" w:customStyle="1" w:styleId="Companycovertitle">
    <w:name w:val="Company cover title"/>
    <w:next w:val="ReportTitle"/>
    <w:link w:val="CompanycovertitleChar"/>
    <w:rsid w:val="004B1C03"/>
    <w:pPr>
      <w:framePr w:hSpace="180" w:wrap="around" w:vAnchor="text" w:hAnchor="margin" w:xAlign="right" w:y="1112"/>
      <w:jc w:val="right"/>
    </w:pPr>
    <w:rPr>
      <w:rFonts w:ascii="Arial" w:eastAsiaTheme="majorEastAsia" w:hAnsi="Arial" w:cs="Arial"/>
      <w:b/>
      <w:bCs/>
      <w:color w:val="7F7F7F" w:themeColor="text1" w:themeTint="80"/>
      <w:sz w:val="36"/>
      <w:szCs w:val="32"/>
    </w:rPr>
  </w:style>
  <w:style w:type="paragraph" w:customStyle="1" w:styleId="ReportTitle">
    <w:name w:val="Report Title"/>
    <w:link w:val="ReportTitleChar"/>
    <w:qFormat/>
    <w:rsid w:val="004B1C03"/>
    <w:pPr>
      <w:framePr w:hSpace="180" w:wrap="around" w:vAnchor="text" w:hAnchor="margin" w:xAlign="right" w:y="1112"/>
      <w:jc w:val="right"/>
    </w:pPr>
    <w:rPr>
      <w:rFonts w:ascii="Arial" w:eastAsiaTheme="majorEastAsia" w:hAnsi="Arial" w:cs="Arial"/>
      <w:b/>
      <w:bCs/>
      <w:color w:val="52555B"/>
      <w:sz w:val="56"/>
      <w:szCs w:val="56"/>
    </w:rPr>
  </w:style>
  <w:style w:type="character" w:customStyle="1" w:styleId="ReportTitleChar">
    <w:name w:val="Report Title Char"/>
    <w:basedOn w:val="Heading1Char"/>
    <w:link w:val="ReportTitle"/>
    <w:rsid w:val="004B1C03"/>
    <w:rPr>
      <w:rFonts w:ascii="Arial" w:eastAsiaTheme="majorEastAsia" w:hAnsi="Arial" w:cs="Arial"/>
      <w:b/>
      <w:bCs w:val="0"/>
      <w:color w:val="52555B"/>
      <w:sz w:val="56"/>
      <w:szCs w:val="56"/>
    </w:rPr>
  </w:style>
  <w:style w:type="character" w:customStyle="1" w:styleId="CompanycovertitleChar">
    <w:name w:val="Company cover title Char"/>
    <w:basedOn w:val="Heading1Char"/>
    <w:link w:val="Companycovertitle"/>
    <w:rsid w:val="004B1C03"/>
    <w:rPr>
      <w:rFonts w:ascii="Arial" w:eastAsiaTheme="majorEastAsia" w:hAnsi="Arial" w:cs="Arial"/>
      <w:b/>
      <w:bCs w:val="0"/>
      <w:color w:val="7F7F7F" w:themeColor="text1" w:themeTint="80"/>
      <w:sz w:val="36"/>
      <w:szCs w:val="32"/>
    </w:rPr>
  </w:style>
  <w:style w:type="paragraph" w:styleId="BodyText">
    <w:name w:val="Body Text"/>
    <w:aliases w:val="Body Text Char Char Char Char Char Char Char Char Char Char Char Char,Body Text Char Char,Heading 1 text,Body Text Char Char Char Char Char Char Char Char Char Char Char Char Char Char Char Char Char Char Char Char Char Char Char Char"/>
    <w:basedOn w:val="Normal"/>
    <w:link w:val="BodyTextChar"/>
    <w:semiHidden/>
    <w:rsid w:val="00E63FA6"/>
    <w:pPr>
      <w:autoSpaceDE w:val="0"/>
      <w:autoSpaceDN w:val="0"/>
      <w:adjustRightInd w:val="0"/>
      <w:spacing w:after="120" w:line="280" w:lineRule="atLeast"/>
    </w:pPr>
    <w:rPr>
      <w:rFonts w:eastAsia="Times New Roman" w:cs="Arial"/>
      <w:color w:val="auto"/>
      <w:sz w:val="22"/>
      <w:szCs w:val="20"/>
    </w:rPr>
  </w:style>
  <w:style w:type="character" w:customStyle="1" w:styleId="BodyTextChar">
    <w:name w:val="Body Text Char"/>
    <w:aliases w:val="Body Text Char Char Char Char Char Char Char Char Char Char Char Char Char,Body Text Char Char Char,Heading 1 text Char"/>
    <w:basedOn w:val="DefaultParagraphFont"/>
    <w:link w:val="BodyText"/>
    <w:semiHidden/>
    <w:rsid w:val="00E63FA6"/>
    <w:rPr>
      <w:rFonts w:ascii="Arial" w:eastAsia="Times New Roman" w:hAnsi="Arial" w:cs="Arial"/>
      <w:sz w:val="22"/>
      <w:szCs w:val="20"/>
    </w:rPr>
  </w:style>
  <w:style w:type="paragraph" w:customStyle="1" w:styleId="TableText">
    <w:name w:val="Table Text"/>
    <w:basedOn w:val="Normal"/>
    <w:semiHidden/>
    <w:locked/>
    <w:rsid w:val="00114462"/>
    <w:pPr>
      <w:keepLines/>
      <w:spacing w:after="0"/>
    </w:pPr>
    <w:rPr>
      <w:rFonts w:ascii="Garamond" w:eastAsia="Times New Roman" w:hAnsi="Garamond" w:cs="Times New Roman"/>
      <w:color w:val="auto"/>
      <w:sz w:val="16"/>
      <w:szCs w:val="22"/>
      <w:lang w:val="en-NZ"/>
    </w:rPr>
  </w:style>
  <w:style w:type="paragraph" w:styleId="CommentText">
    <w:name w:val="annotation text"/>
    <w:basedOn w:val="Normal"/>
    <w:link w:val="CommentTextChar"/>
    <w:uiPriority w:val="99"/>
    <w:unhideWhenUsed/>
    <w:qFormat/>
    <w:rsid w:val="000D784F"/>
    <w:rPr>
      <w:szCs w:val="20"/>
    </w:rPr>
  </w:style>
  <w:style w:type="character" w:customStyle="1" w:styleId="CommentTextChar">
    <w:name w:val="Comment Text Char"/>
    <w:basedOn w:val="DefaultParagraphFont"/>
    <w:link w:val="CommentText"/>
    <w:uiPriority w:val="99"/>
    <w:qFormat/>
    <w:rsid w:val="000D784F"/>
    <w:rPr>
      <w:rFonts w:ascii="Arial" w:hAnsi="Arial"/>
      <w:color w:val="52555B"/>
      <w:sz w:val="20"/>
      <w:szCs w:val="20"/>
    </w:rPr>
  </w:style>
  <w:style w:type="paragraph" w:styleId="NormalWeb">
    <w:name w:val="Normal (Web)"/>
    <w:basedOn w:val="Normal"/>
    <w:uiPriority w:val="99"/>
    <w:semiHidden/>
    <w:unhideWhenUsed/>
    <w:rsid w:val="00765C79"/>
    <w:pPr>
      <w:spacing w:before="100" w:beforeAutospacing="1" w:after="100" w:afterAutospacing="1"/>
    </w:pPr>
    <w:rPr>
      <w:rFonts w:ascii="Times New Roman" w:hAnsi="Times New Roman" w:cs="Times New Roman"/>
      <w:color w:val="auto"/>
      <w:sz w:val="24"/>
      <w:lang w:val="en-NZ" w:eastAsia="en-NZ"/>
    </w:rPr>
  </w:style>
  <w:style w:type="paragraph" w:styleId="TOCHeading">
    <w:name w:val="TOC Heading"/>
    <w:basedOn w:val="Heading1"/>
    <w:next w:val="Normal"/>
    <w:uiPriority w:val="39"/>
    <w:unhideWhenUsed/>
    <w:qFormat/>
    <w:rsid w:val="00DA3FCE"/>
    <w:pPr>
      <w:spacing w:before="240" w:after="0" w:line="259" w:lineRule="auto"/>
      <w:outlineLvl w:val="9"/>
    </w:pPr>
    <w:rPr>
      <w:rFonts w:asciiTheme="majorHAnsi" w:hAnsiTheme="majorHAnsi"/>
      <w:b w:val="0"/>
      <w:bCs/>
      <w:color w:val="365F91" w:themeColor="accent1" w:themeShade="BF"/>
      <w:sz w:val="32"/>
    </w:rPr>
  </w:style>
  <w:style w:type="paragraph" w:customStyle="1" w:styleId="Documenttext">
    <w:name w:val="Document text"/>
    <w:basedOn w:val="BodyText"/>
    <w:rsid w:val="009D31AB"/>
    <w:pPr>
      <w:autoSpaceDE/>
      <w:autoSpaceDN/>
      <w:adjustRightInd/>
      <w:spacing w:line="240" w:lineRule="atLeast"/>
    </w:pPr>
    <w:rPr>
      <w:rFonts w:ascii="Times New Roman" w:eastAsiaTheme="minorHAnsi" w:hAnsi="Times New Roman"/>
      <w:sz w:val="24"/>
      <w:szCs w:val="22"/>
      <w:lang w:val="en-NZ"/>
    </w:rPr>
  </w:style>
  <w:style w:type="paragraph" w:customStyle="1" w:styleId="SecurityClassification">
    <w:name w:val="Security Classification"/>
    <w:basedOn w:val="Header"/>
    <w:qFormat/>
    <w:rsid w:val="009D31AB"/>
    <w:pPr>
      <w:spacing w:after="200" w:line="240" w:lineRule="atLeast"/>
    </w:pPr>
    <w:rPr>
      <w:rFonts w:eastAsiaTheme="minorHAnsi"/>
      <w:color w:val="auto"/>
      <w:sz w:val="22"/>
      <w:szCs w:val="22"/>
      <w:lang w:val="en-NZ"/>
    </w:rPr>
  </w:style>
  <w:style w:type="paragraph" w:customStyle="1" w:styleId="TableBodyText">
    <w:name w:val="Table Body Text"/>
    <w:basedOn w:val="Normal"/>
    <w:uiPriority w:val="4"/>
    <w:qFormat/>
    <w:rsid w:val="009D31AB"/>
    <w:pPr>
      <w:spacing w:before="40" w:after="120" w:line="240" w:lineRule="atLeast"/>
    </w:pPr>
    <w:rPr>
      <w:rFonts w:eastAsiaTheme="minorHAnsi"/>
      <w:color w:val="auto"/>
      <w:sz w:val="24"/>
      <w:szCs w:val="22"/>
      <w:lang w:val="en-NZ"/>
    </w:rPr>
  </w:style>
  <w:style w:type="paragraph" w:customStyle="1" w:styleId="TableHeading">
    <w:name w:val="Table Heading"/>
    <w:basedOn w:val="Normal"/>
    <w:uiPriority w:val="3"/>
    <w:qFormat/>
    <w:rsid w:val="009D31AB"/>
    <w:pPr>
      <w:spacing w:before="60" w:after="120" w:line="240" w:lineRule="atLeast"/>
    </w:pPr>
    <w:rPr>
      <w:rFonts w:ascii="Arial Narrow" w:eastAsiaTheme="minorHAnsi" w:hAnsi="Arial Narrow"/>
      <w:b/>
      <w:color w:val="auto"/>
      <w:sz w:val="24"/>
      <w:szCs w:val="22"/>
      <w:lang w:val="en-NZ"/>
    </w:rPr>
  </w:style>
  <w:style w:type="character" w:styleId="PlaceholderText">
    <w:name w:val="Placeholder Text"/>
    <w:basedOn w:val="DefaultParagraphFont"/>
    <w:uiPriority w:val="99"/>
    <w:rsid w:val="009D31AB"/>
    <w:rPr>
      <w:i/>
      <w:color w:val="7F7F7F" w:themeColor="text1" w:themeTint="80"/>
      <w:sz w:val="24"/>
    </w:rPr>
  </w:style>
  <w:style w:type="paragraph" w:styleId="ListBullet">
    <w:name w:val="List Bullet"/>
    <w:basedOn w:val="Normal"/>
    <w:uiPriority w:val="3"/>
    <w:rsid w:val="001A0DB9"/>
    <w:pPr>
      <w:numPr>
        <w:numId w:val="6"/>
      </w:numPr>
      <w:spacing w:before="120" w:after="120" w:line="240" w:lineRule="atLeast"/>
    </w:pPr>
    <w:rPr>
      <w:rFonts w:eastAsiaTheme="minorHAnsi"/>
      <w:color w:val="auto"/>
      <w:sz w:val="24"/>
      <w:szCs w:val="22"/>
      <w:lang w:val="en-NZ"/>
    </w:rPr>
  </w:style>
  <w:style w:type="paragraph" w:customStyle="1" w:styleId="SchedPara1">
    <w:name w:val="Sched Para 1"/>
    <w:basedOn w:val="Normal"/>
    <w:next w:val="BodyTextIndent"/>
    <w:rsid w:val="005677D7"/>
    <w:pPr>
      <w:keepNext/>
      <w:numPr>
        <w:ilvl w:val="1"/>
        <w:numId w:val="7"/>
      </w:numPr>
      <w:spacing w:before="240" w:after="0"/>
    </w:pPr>
    <w:rPr>
      <w:rFonts w:ascii="Times New Roman" w:eastAsia="Times New Roman" w:hAnsi="Times New Roman" w:cs="Times New Roman"/>
      <w:b/>
      <w:color w:val="auto"/>
      <w:sz w:val="24"/>
      <w:szCs w:val="20"/>
      <w:lang w:val="en-AU"/>
    </w:rPr>
  </w:style>
  <w:style w:type="paragraph" w:styleId="BodyTextIndent">
    <w:name w:val="Body Text Indent"/>
    <w:basedOn w:val="Normal"/>
    <w:link w:val="BodyTextIndentChar"/>
    <w:uiPriority w:val="99"/>
    <w:semiHidden/>
    <w:unhideWhenUsed/>
    <w:rsid w:val="005677D7"/>
    <w:pPr>
      <w:spacing w:after="120"/>
      <w:ind w:left="360"/>
    </w:pPr>
  </w:style>
  <w:style w:type="character" w:customStyle="1" w:styleId="BodyTextIndentChar">
    <w:name w:val="Body Text Indent Char"/>
    <w:basedOn w:val="DefaultParagraphFont"/>
    <w:link w:val="BodyTextIndent"/>
    <w:uiPriority w:val="99"/>
    <w:semiHidden/>
    <w:rsid w:val="005677D7"/>
    <w:rPr>
      <w:rFonts w:ascii="Arial" w:hAnsi="Arial"/>
      <w:color w:val="52555B"/>
      <w:sz w:val="20"/>
    </w:rPr>
  </w:style>
  <w:style w:type="character" w:styleId="Strong">
    <w:name w:val="Strong"/>
    <w:basedOn w:val="DefaultParagraphFont"/>
    <w:uiPriority w:val="22"/>
    <w:qFormat/>
    <w:rsid w:val="00EB2149"/>
    <w:rPr>
      <w:b/>
      <w:bCs/>
    </w:rPr>
  </w:style>
  <w:style w:type="paragraph" w:customStyle="1" w:styleId="Bullets">
    <w:name w:val="Bullets"/>
    <w:basedOn w:val="BodyText"/>
    <w:uiPriority w:val="99"/>
    <w:qFormat/>
    <w:rsid w:val="006079C8"/>
    <w:pPr>
      <w:numPr>
        <w:numId w:val="10"/>
      </w:numPr>
      <w:suppressAutoHyphens/>
      <w:spacing w:after="57" w:line="240" w:lineRule="auto"/>
      <w:textAlignment w:val="center"/>
    </w:pPr>
    <w:rPr>
      <w:rFonts w:ascii="Calibri" w:eastAsiaTheme="minorHAnsi" w:hAnsi="Calibri" w:cs="Swis721 Lt BT"/>
      <w:color w:val="000000"/>
      <w:szCs w:val="18"/>
    </w:rPr>
  </w:style>
  <w:style w:type="paragraph" w:customStyle="1" w:styleId="Resourcelist">
    <w:name w:val="Resource list"/>
    <w:basedOn w:val="Bullets"/>
    <w:uiPriority w:val="99"/>
    <w:rsid w:val="006079C8"/>
    <w:pPr>
      <w:numPr>
        <w:numId w:val="0"/>
      </w:numPr>
    </w:pPr>
    <w:rPr>
      <w:rFonts w:cs="Swis721 Md BT"/>
      <w:color w:val="2E5596"/>
      <w:u w:color="0000FF"/>
    </w:rPr>
  </w:style>
  <w:style w:type="paragraph" w:customStyle="1" w:styleId="NoParagraphStyle">
    <w:name w:val="[No Paragraph Style]"/>
    <w:rsid w:val="00CD2C0B"/>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TableCellBULLETSblueTables">
    <w:name w:val="Table Cell BULLETS blue (Tables)"/>
    <w:basedOn w:val="Normal"/>
    <w:uiPriority w:val="99"/>
    <w:rsid w:val="00CD2C0B"/>
    <w:pPr>
      <w:numPr>
        <w:numId w:val="11"/>
      </w:numPr>
      <w:tabs>
        <w:tab w:val="left" w:pos="284"/>
      </w:tabs>
      <w:suppressAutoHyphens/>
      <w:autoSpaceDE w:val="0"/>
      <w:autoSpaceDN w:val="0"/>
      <w:adjustRightInd w:val="0"/>
      <w:spacing w:after="80" w:line="240" w:lineRule="atLeast"/>
      <w:ind w:left="284" w:hanging="284"/>
      <w:textAlignment w:val="center"/>
    </w:pPr>
    <w:rPr>
      <w:rFonts w:ascii="Calibri" w:eastAsiaTheme="minorHAnsi" w:hAnsi="Calibri" w:cs="Swis721 Lt BT"/>
      <w:color w:val="000000"/>
      <w:sz w:val="22"/>
      <w:szCs w:val="18"/>
      <w:lang w:val="en-GB"/>
    </w:rPr>
  </w:style>
  <w:style w:type="paragraph" w:customStyle="1" w:styleId="TableCellBULLETSgreyTables">
    <w:name w:val="Table Cell BULLETS grey (Tables)"/>
    <w:basedOn w:val="TableCellBULLETSblueTables"/>
    <w:uiPriority w:val="99"/>
    <w:rsid w:val="00CD2C0B"/>
  </w:style>
  <w:style w:type="character" w:customStyle="1" w:styleId="Bullet-grey">
    <w:name w:val="Bullet - grey"/>
    <w:basedOn w:val="DefaultParagraphFont"/>
    <w:uiPriority w:val="99"/>
    <w:rsid w:val="00CD2C0B"/>
    <w:rPr>
      <w:color w:val="000000"/>
    </w:rPr>
  </w:style>
  <w:style w:type="character" w:customStyle="1" w:styleId="Links">
    <w:name w:val="Links"/>
    <w:basedOn w:val="Hyperlink"/>
    <w:uiPriority w:val="99"/>
    <w:rsid w:val="00CD2C0B"/>
    <w:rPr>
      <w:rFonts w:ascii="Calibri" w:hAnsi="Calibri"/>
      <w:b w:val="0"/>
      <w:i w:val="0"/>
      <w:color w:val="000000"/>
      <w:w w:val="100"/>
      <w:sz w:val="22"/>
      <w:szCs w:val="18"/>
      <w:u w:val="none" w:color="0000FF"/>
    </w:rPr>
  </w:style>
  <w:style w:type="paragraph" w:customStyle="1" w:styleId="Bullets-LAST">
    <w:name w:val="Bullets - LAST"/>
    <w:basedOn w:val="Bullets"/>
    <w:uiPriority w:val="99"/>
    <w:qFormat/>
    <w:rsid w:val="00CA2A6C"/>
    <w:pPr>
      <w:numPr>
        <w:numId w:val="0"/>
      </w:numPr>
      <w:tabs>
        <w:tab w:val="num" w:pos="360"/>
      </w:tabs>
      <w:spacing w:after="240"/>
      <w:ind w:left="568" w:hanging="284"/>
    </w:pPr>
  </w:style>
  <w:style w:type="paragraph" w:customStyle="1" w:styleId="Bulletsinnumberedlist">
    <w:name w:val="Bullets in numbered list"/>
    <w:basedOn w:val="Bullets"/>
    <w:uiPriority w:val="99"/>
    <w:rsid w:val="00CA2A6C"/>
    <w:pPr>
      <w:numPr>
        <w:numId w:val="12"/>
      </w:numPr>
      <w:tabs>
        <w:tab w:val="num" w:pos="360"/>
      </w:tabs>
      <w:ind w:left="1003" w:hanging="357"/>
    </w:pPr>
  </w:style>
  <w:style w:type="paragraph" w:customStyle="1" w:styleId="Resourcelist-L2">
    <w:name w:val="Resource list - L2"/>
    <w:basedOn w:val="Resourcelist"/>
    <w:uiPriority w:val="99"/>
    <w:rsid w:val="006270A3"/>
  </w:style>
  <w:style w:type="paragraph" w:customStyle="1" w:styleId="TableCellBULLETSredTables">
    <w:name w:val="Table Cell BULLETS red (Tables)"/>
    <w:basedOn w:val="Normal"/>
    <w:uiPriority w:val="99"/>
    <w:rsid w:val="00155E06"/>
    <w:pPr>
      <w:numPr>
        <w:numId w:val="13"/>
      </w:numPr>
      <w:tabs>
        <w:tab w:val="left" w:pos="284"/>
      </w:tabs>
      <w:suppressAutoHyphens/>
      <w:autoSpaceDE w:val="0"/>
      <w:autoSpaceDN w:val="0"/>
      <w:adjustRightInd w:val="0"/>
      <w:spacing w:after="80"/>
      <w:textAlignment w:val="center"/>
    </w:pPr>
    <w:rPr>
      <w:rFonts w:ascii="Calibri" w:eastAsiaTheme="minorHAnsi" w:hAnsi="Calibri" w:cs="Swis721 Lt BT"/>
      <w:color w:val="000000"/>
      <w:sz w:val="22"/>
      <w:szCs w:val="18"/>
      <w:lang w:val="en-GB"/>
    </w:rPr>
  </w:style>
  <w:style w:type="character" w:styleId="CommentReference">
    <w:name w:val="annotation reference"/>
    <w:basedOn w:val="DefaultParagraphFont"/>
    <w:uiPriority w:val="99"/>
    <w:semiHidden/>
    <w:unhideWhenUsed/>
    <w:qFormat/>
    <w:rsid w:val="000F513E"/>
    <w:rPr>
      <w:sz w:val="16"/>
      <w:szCs w:val="16"/>
    </w:rPr>
  </w:style>
  <w:style w:type="paragraph" w:customStyle="1" w:styleId="List1">
    <w:name w:val="List 1"/>
    <w:aliases w:val="2,3"/>
    <w:basedOn w:val="Normal"/>
    <w:uiPriority w:val="99"/>
    <w:rsid w:val="00F435A1"/>
    <w:pPr>
      <w:numPr>
        <w:numId w:val="14"/>
      </w:numPr>
      <w:suppressAutoHyphens/>
      <w:autoSpaceDE w:val="0"/>
      <w:autoSpaceDN w:val="0"/>
      <w:adjustRightInd w:val="0"/>
      <w:spacing w:after="57"/>
      <w:textAlignment w:val="center"/>
    </w:pPr>
    <w:rPr>
      <w:rFonts w:ascii="Calibri" w:eastAsiaTheme="minorHAnsi" w:hAnsi="Calibri" w:cs="Swis721 Lt BT"/>
      <w:color w:val="000000"/>
      <w:sz w:val="22"/>
      <w:szCs w:val="18"/>
    </w:rPr>
  </w:style>
  <w:style w:type="paragraph" w:customStyle="1" w:styleId="BulletsL2">
    <w:name w:val="Bullets L2"/>
    <w:basedOn w:val="Bullets"/>
    <w:uiPriority w:val="99"/>
    <w:qFormat/>
    <w:rsid w:val="00F435A1"/>
    <w:pPr>
      <w:numPr>
        <w:numId w:val="0"/>
      </w:numPr>
    </w:pPr>
  </w:style>
  <w:style w:type="table" w:customStyle="1" w:styleId="TableGrid1">
    <w:name w:val="Table Grid1"/>
    <w:basedOn w:val="TableNormal"/>
    <w:next w:val="TableGrid"/>
    <w:uiPriority w:val="39"/>
    <w:rsid w:val="00A8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8C2DB7"/>
    <w:rPr>
      <w:rFonts w:ascii="Times New Roman" w:hAnsi="Times New Roman" w:cs="Times New Roman"/>
    </w:rPr>
  </w:style>
  <w:style w:type="paragraph" w:customStyle="1" w:styleId="Lista">
    <w:name w:val="List a"/>
    <w:aliases w:val="b,c"/>
    <w:basedOn w:val="NoParagraphStyle"/>
    <w:uiPriority w:val="99"/>
    <w:rsid w:val="00E34344"/>
    <w:pPr>
      <w:numPr>
        <w:numId w:val="16"/>
      </w:numPr>
      <w:suppressAutoHyphens/>
      <w:spacing w:line="240" w:lineRule="atLeast"/>
    </w:pPr>
    <w:rPr>
      <w:rFonts w:ascii="Calibri" w:hAnsi="Calibri" w:cs="Swis721 Lt BT"/>
      <w:sz w:val="22"/>
      <w:szCs w:val="18"/>
    </w:rPr>
  </w:style>
  <w:style w:type="character" w:customStyle="1" w:styleId="Queryinred">
    <w:name w:val="Query in red"/>
    <w:uiPriority w:val="99"/>
    <w:rsid w:val="00D73B9C"/>
    <w:rPr>
      <w:color w:val="FF0000"/>
    </w:rPr>
  </w:style>
  <w:style w:type="paragraph" w:customStyle="1" w:styleId="TableCellsTables">
    <w:name w:val="Table Cells (Tables)"/>
    <w:basedOn w:val="BasicParagraph"/>
    <w:uiPriority w:val="99"/>
    <w:rsid w:val="00D73B9C"/>
    <w:pPr>
      <w:suppressAutoHyphens/>
      <w:spacing w:after="80" w:line="240" w:lineRule="atLeast"/>
    </w:pPr>
    <w:rPr>
      <w:rFonts w:ascii="Swis721 Lt BT" w:hAnsi="Swis721 Lt BT" w:cs="Swis721 Lt BT"/>
      <w:sz w:val="18"/>
      <w:szCs w:val="18"/>
      <w:lang w:val="en-GB"/>
    </w:rPr>
  </w:style>
  <w:style w:type="character" w:customStyle="1" w:styleId="Bullet-links">
    <w:name w:val="Bullet - links"/>
    <w:basedOn w:val="DefaultParagraphFont"/>
    <w:uiPriority w:val="99"/>
    <w:rsid w:val="00D73B9C"/>
    <w:rPr>
      <w:color w:val="2E5596"/>
    </w:rPr>
  </w:style>
  <w:style w:type="character" w:customStyle="1" w:styleId="Nolinkinresources">
    <w:name w:val="No link in resources"/>
    <w:uiPriority w:val="99"/>
    <w:rsid w:val="00D73B9C"/>
    <w:rPr>
      <w:color w:val="000000"/>
    </w:rPr>
  </w:style>
  <w:style w:type="character" w:customStyle="1" w:styleId="Bold">
    <w:name w:val="Bold"/>
    <w:uiPriority w:val="99"/>
    <w:rsid w:val="00D73B9C"/>
    <w:rPr>
      <w:b/>
      <w:bCs/>
      <w:u w:color="000000"/>
    </w:rPr>
  </w:style>
  <w:style w:type="paragraph" w:customStyle="1" w:styleId="Listi">
    <w:name w:val="List i"/>
    <w:aliases w:val="ii,iii"/>
    <w:basedOn w:val="BodyText"/>
    <w:uiPriority w:val="99"/>
    <w:rsid w:val="00D73B9C"/>
    <w:pPr>
      <w:suppressAutoHyphens/>
      <w:spacing w:after="0" w:line="240" w:lineRule="auto"/>
      <w:ind w:left="1134" w:hanging="283"/>
      <w:textAlignment w:val="center"/>
    </w:pPr>
    <w:rPr>
      <w:rFonts w:ascii="Calibri" w:eastAsiaTheme="minorHAnsi" w:hAnsi="Calibri" w:cs="Swis721 Lt BT"/>
      <w:color w:val="000000"/>
      <w:szCs w:val="18"/>
    </w:rPr>
  </w:style>
  <w:style w:type="character" w:styleId="Emphasis">
    <w:name w:val="Emphasis"/>
    <w:basedOn w:val="DefaultParagraphFont"/>
    <w:uiPriority w:val="20"/>
    <w:qFormat/>
    <w:rsid w:val="00D73B9C"/>
    <w:rPr>
      <w:i/>
      <w:iCs/>
    </w:rPr>
  </w:style>
  <w:style w:type="paragraph" w:customStyle="1" w:styleId="TableHeaderTables">
    <w:name w:val="Table Header (Tables)"/>
    <w:basedOn w:val="TableCellsTables"/>
    <w:uiPriority w:val="99"/>
    <w:rsid w:val="001F5413"/>
    <w:rPr>
      <w:rFonts w:ascii="Swis721 BT" w:hAnsi="Swis721 BT" w:cs="Swis721 BT"/>
      <w:b/>
      <w:bCs/>
      <w:color w:val="FFFFFF"/>
    </w:rPr>
  </w:style>
  <w:style w:type="paragraph" w:customStyle="1" w:styleId="TableLeftColumnTables">
    <w:name w:val="Table Left Column (Tables)"/>
    <w:basedOn w:val="TableCellsTables"/>
    <w:uiPriority w:val="99"/>
    <w:rsid w:val="001F5413"/>
    <w:rPr>
      <w:rFonts w:ascii="Calibri" w:hAnsi="Calibri" w:cs="Swis721 BT"/>
      <w:b/>
      <w:bCs/>
      <w:sz w:val="22"/>
    </w:rPr>
  </w:style>
  <w:style w:type="paragraph" w:customStyle="1" w:styleId="Indicatorname">
    <w:name w:val="Indicator name"/>
    <w:basedOn w:val="Normal"/>
    <w:uiPriority w:val="99"/>
    <w:rsid w:val="009F20CD"/>
    <w:pPr>
      <w:suppressAutoHyphens/>
      <w:autoSpaceDE w:val="0"/>
      <w:autoSpaceDN w:val="0"/>
      <w:adjustRightInd w:val="0"/>
      <w:spacing w:after="567"/>
      <w:textAlignment w:val="center"/>
    </w:pPr>
    <w:rPr>
      <w:rFonts w:ascii="Calibri" w:eastAsiaTheme="minorHAnsi" w:hAnsi="Calibri" w:cs="Swis721 Cn BT"/>
      <w:b/>
      <w:bCs/>
      <w:color w:val="000000"/>
      <w:sz w:val="48"/>
      <w:szCs w:val="48"/>
    </w:rPr>
  </w:style>
  <w:style w:type="paragraph" w:styleId="CommentSubject">
    <w:name w:val="annotation subject"/>
    <w:basedOn w:val="CommentText"/>
    <w:next w:val="CommentText"/>
    <w:link w:val="CommentSubjectChar"/>
    <w:uiPriority w:val="99"/>
    <w:semiHidden/>
    <w:unhideWhenUsed/>
    <w:rsid w:val="00174362"/>
    <w:rPr>
      <w:b/>
      <w:bCs/>
    </w:rPr>
  </w:style>
  <w:style w:type="character" w:customStyle="1" w:styleId="CommentSubjectChar">
    <w:name w:val="Comment Subject Char"/>
    <w:basedOn w:val="CommentTextChar"/>
    <w:link w:val="CommentSubject"/>
    <w:uiPriority w:val="99"/>
    <w:semiHidden/>
    <w:rsid w:val="00174362"/>
    <w:rPr>
      <w:rFonts w:ascii="Arial" w:hAnsi="Arial"/>
      <w:b/>
      <w:bCs/>
      <w:color w:val="52555B"/>
      <w:sz w:val="20"/>
      <w:szCs w:val="20"/>
    </w:rPr>
  </w:style>
  <w:style w:type="paragraph" w:customStyle="1" w:styleId="Indicator">
    <w:name w:val="Indicator"/>
    <w:basedOn w:val="Heading2"/>
    <w:autoRedefine/>
    <w:qFormat/>
    <w:rsid w:val="008D4E0D"/>
    <w:pPr>
      <w:numPr>
        <w:ilvl w:val="1"/>
        <w:numId w:val="18"/>
      </w:numPr>
      <w:shd w:val="clear" w:color="auto" w:fill="DBE5F1" w:themeFill="accent1" w:themeFillTint="33"/>
      <w:tabs>
        <w:tab w:val="num" w:pos="360"/>
      </w:tabs>
      <w:spacing w:before="40" w:line="259" w:lineRule="auto"/>
    </w:pPr>
    <w:rPr>
      <w:rFonts w:asciiTheme="majorHAnsi" w:hAnsiTheme="majorHAnsi"/>
      <w:bCs w:val="0"/>
      <w:color w:val="auto"/>
      <w:sz w:val="32"/>
      <w:lang w:val="en-NZ"/>
    </w:rPr>
  </w:style>
  <w:style w:type="paragraph" w:customStyle="1" w:styleId="Criteria-Indicator">
    <w:name w:val="Criteria - Indicator"/>
    <w:basedOn w:val="Heading3"/>
    <w:qFormat/>
    <w:rsid w:val="008D4E0D"/>
    <w:pPr>
      <w:numPr>
        <w:ilvl w:val="2"/>
        <w:numId w:val="18"/>
      </w:numPr>
      <w:shd w:val="clear" w:color="auto" w:fill="F2F2F2" w:themeFill="background1" w:themeFillShade="F2"/>
      <w:tabs>
        <w:tab w:val="num" w:pos="360"/>
      </w:tabs>
      <w:spacing w:before="40" w:line="259" w:lineRule="auto"/>
    </w:pPr>
    <w:rPr>
      <w:bCs w:val="0"/>
      <w:color w:val="auto"/>
      <w:sz w:val="28"/>
      <w:lang w:val="en-NZ"/>
    </w:rPr>
  </w:style>
  <w:style w:type="character" w:styleId="UnresolvedMention">
    <w:name w:val="Unresolved Mention"/>
    <w:basedOn w:val="DefaultParagraphFont"/>
    <w:uiPriority w:val="99"/>
    <w:semiHidden/>
    <w:unhideWhenUsed/>
    <w:rsid w:val="005E2EB4"/>
    <w:rPr>
      <w:color w:val="605E5C"/>
      <w:shd w:val="clear" w:color="auto" w:fill="E1DFDD"/>
    </w:rPr>
  </w:style>
  <w:style w:type="character" w:styleId="FollowedHyperlink">
    <w:name w:val="FollowedHyperlink"/>
    <w:basedOn w:val="DefaultParagraphFont"/>
    <w:uiPriority w:val="99"/>
    <w:semiHidden/>
    <w:unhideWhenUsed/>
    <w:rsid w:val="00A33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471">
      <w:bodyDiv w:val="1"/>
      <w:marLeft w:val="0"/>
      <w:marRight w:val="0"/>
      <w:marTop w:val="0"/>
      <w:marBottom w:val="0"/>
      <w:divBdr>
        <w:top w:val="none" w:sz="0" w:space="0" w:color="auto"/>
        <w:left w:val="none" w:sz="0" w:space="0" w:color="auto"/>
        <w:bottom w:val="none" w:sz="0" w:space="0" w:color="auto"/>
        <w:right w:val="none" w:sz="0" w:space="0" w:color="auto"/>
      </w:divBdr>
    </w:div>
    <w:div w:id="22369170">
      <w:bodyDiv w:val="1"/>
      <w:marLeft w:val="0"/>
      <w:marRight w:val="0"/>
      <w:marTop w:val="0"/>
      <w:marBottom w:val="0"/>
      <w:divBdr>
        <w:top w:val="none" w:sz="0" w:space="0" w:color="auto"/>
        <w:left w:val="none" w:sz="0" w:space="0" w:color="auto"/>
        <w:bottom w:val="none" w:sz="0" w:space="0" w:color="auto"/>
        <w:right w:val="none" w:sz="0" w:space="0" w:color="auto"/>
      </w:divBdr>
    </w:div>
    <w:div w:id="66079420">
      <w:bodyDiv w:val="1"/>
      <w:marLeft w:val="0"/>
      <w:marRight w:val="0"/>
      <w:marTop w:val="0"/>
      <w:marBottom w:val="0"/>
      <w:divBdr>
        <w:top w:val="none" w:sz="0" w:space="0" w:color="auto"/>
        <w:left w:val="none" w:sz="0" w:space="0" w:color="auto"/>
        <w:bottom w:val="none" w:sz="0" w:space="0" w:color="auto"/>
        <w:right w:val="none" w:sz="0" w:space="0" w:color="auto"/>
      </w:divBdr>
    </w:div>
    <w:div w:id="101537468">
      <w:bodyDiv w:val="1"/>
      <w:marLeft w:val="0"/>
      <w:marRight w:val="0"/>
      <w:marTop w:val="0"/>
      <w:marBottom w:val="0"/>
      <w:divBdr>
        <w:top w:val="none" w:sz="0" w:space="0" w:color="auto"/>
        <w:left w:val="none" w:sz="0" w:space="0" w:color="auto"/>
        <w:bottom w:val="none" w:sz="0" w:space="0" w:color="auto"/>
        <w:right w:val="none" w:sz="0" w:space="0" w:color="auto"/>
      </w:divBdr>
    </w:div>
    <w:div w:id="125975378">
      <w:bodyDiv w:val="1"/>
      <w:marLeft w:val="0"/>
      <w:marRight w:val="0"/>
      <w:marTop w:val="0"/>
      <w:marBottom w:val="0"/>
      <w:divBdr>
        <w:top w:val="none" w:sz="0" w:space="0" w:color="auto"/>
        <w:left w:val="none" w:sz="0" w:space="0" w:color="auto"/>
        <w:bottom w:val="none" w:sz="0" w:space="0" w:color="auto"/>
        <w:right w:val="none" w:sz="0" w:space="0" w:color="auto"/>
      </w:divBdr>
    </w:div>
    <w:div w:id="201602415">
      <w:bodyDiv w:val="1"/>
      <w:marLeft w:val="0"/>
      <w:marRight w:val="0"/>
      <w:marTop w:val="0"/>
      <w:marBottom w:val="0"/>
      <w:divBdr>
        <w:top w:val="none" w:sz="0" w:space="0" w:color="auto"/>
        <w:left w:val="none" w:sz="0" w:space="0" w:color="auto"/>
        <w:bottom w:val="none" w:sz="0" w:space="0" w:color="auto"/>
        <w:right w:val="none" w:sz="0" w:space="0" w:color="auto"/>
      </w:divBdr>
    </w:div>
    <w:div w:id="388843873">
      <w:bodyDiv w:val="1"/>
      <w:marLeft w:val="0"/>
      <w:marRight w:val="0"/>
      <w:marTop w:val="0"/>
      <w:marBottom w:val="0"/>
      <w:divBdr>
        <w:top w:val="none" w:sz="0" w:space="0" w:color="auto"/>
        <w:left w:val="none" w:sz="0" w:space="0" w:color="auto"/>
        <w:bottom w:val="none" w:sz="0" w:space="0" w:color="auto"/>
        <w:right w:val="none" w:sz="0" w:space="0" w:color="auto"/>
      </w:divBdr>
    </w:div>
    <w:div w:id="514996116">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92998364">
      <w:bodyDiv w:val="1"/>
      <w:marLeft w:val="0"/>
      <w:marRight w:val="0"/>
      <w:marTop w:val="0"/>
      <w:marBottom w:val="0"/>
      <w:divBdr>
        <w:top w:val="none" w:sz="0" w:space="0" w:color="auto"/>
        <w:left w:val="none" w:sz="0" w:space="0" w:color="auto"/>
        <w:bottom w:val="none" w:sz="0" w:space="0" w:color="auto"/>
        <w:right w:val="none" w:sz="0" w:space="0" w:color="auto"/>
      </w:divBdr>
    </w:div>
    <w:div w:id="713387349">
      <w:bodyDiv w:val="1"/>
      <w:marLeft w:val="0"/>
      <w:marRight w:val="0"/>
      <w:marTop w:val="0"/>
      <w:marBottom w:val="0"/>
      <w:divBdr>
        <w:top w:val="none" w:sz="0" w:space="0" w:color="auto"/>
        <w:left w:val="none" w:sz="0" w:space="0" w:color="auto"/>
        <w:bottom w:val="none" w:sz="0" w:space="0" w:color="auto"/>
        <w:right w:val="none" w:sz="0" w:space="0" w:color="auto"/>
      </w:divBdr>
    </w:div>
    <w:div w:id="770778412">
      <w:bodyDiv w:val="1"/>
      <w:marLeft w:val="0"/>
      <w:marRight w:val="0"/>
      <w:marTop w:val="0"/>
      <w:marBottom w:val="0"/>
      <w:divBdr>
        <w:top w:val="none" w:sz="0" w:space="0" w:color="auto"/>
        <w:left w:val="none" w:sz="0" w:space="0" w:color="auto"/>
        <w:bottom w:val="none" w:sz="0" w:space="0" w:color="auto"/>
        <w:right w:val="none" w:sz="0" w:space="0" w:color="auto"/>
      </w:divBdr>
    </w:div>
    <w:div w:id="784160302">
      <w:bodyDiv w:val="1"/>
      <w:marLeft w:val="0"/>
      <w:marRight w:val="0"/>
      <w:marTop w:val="0"/>
      <w:marBottom w:val="0"/>
      <w:divBdr>
        <w:top w:val="none" w:sz="0" w:space="0" w:color="auto"/>
        <w:left w:val="none" w:sz="0" w:space="0" w:color="auto"/>
        <w:bottom w:val="none" w:sz="0" w:space="0" w:color="auto"/>
        <w:right w:val="none" w:sz="0" w:space="0" w:color="auto"/>
      </w:divBdr>
    </w:div>
    <w:div w:id="818494194">
      <w:bodyDiv w:val="1"/>
      <w:marLeft w:val="0"/>
      <w:marRight w:val="0"/>
      <w:marTop w:val="0"/>
      <w:marBottom w:val="0"/>
      <w:divBdr>
        <w:top w:val="none" w:sz="0" w:space="0" w:color="auto"/>
        <w:left w:val="none" w:sz="0" w:space="0" w:color="auto"/>
        <w:bottom w:val="none" w:sz="0" w:space="0" w:color="auto"/>
        <w:right w:val="none" w:sz="0" w:space="0" w:color="auto"/>
      </w:divBdr>
    </w:div>
    <w:div w:id="880216490">
      <w:bodyDiv w:val="1"/>
      <w:marLeft w:val="0"/>
      <w:marRight w:val="0"/>
      <w:marTop w:val="0"/>
      <w:marBottom w:val="0"/>
      <w:divBdr>
        <w:top w:val="none" w:sz="0" w:space="0" w:color="auto"/>
        <w:left w:val="none" w:sz="0" w:space="0" w:color="auto"/>
        <w:bottom w:val="none" w:sz="0" w:space="0" w:color="auto"/>
        <w:right w:val="none" w:sz="0" w:space="0" w:color="auto"/>
      </w:divBdr>
    </w:div>
    <w:div w:id="1052536169">
      <w:bodyDiv w:val="1"/>
      <w:marLeft w:val="0"/>
      <w:marRight w:val="0"/>
      <w:marTop w:val="0"/>
      <w:marBottom w:val="0"/>
      <w:divBdr>
        <w:top w:val="none" w:sz="0" w:space="0" w:color="auto"/>
        <w:left w:val="none" w:sz="0" w:space="0" w:color="auto"/>
        <w:bottom w:val="none" w:sz="0" w:space="0" w:color="auto"/>
        <w:right w:val="none" w:sz="0" w:space="0" w:color="auto"/>
      </w:divBdr>
    </w:div>
    <w:div w:id="1061369122">
      <w:bodyDiv w:val="1"/>
      <w:marLeft w:val="0"/>
      <w:marRight w:val="0"/>
      <w:marTop w:val="0"/>
      <w:marBottom w:val="0"/>
      <w:divBdr>
        <w:top w:val="none" w:sz="0" w:space="0" w:color="auto"/>
        <w:left w:val="none" w:sz="0" w:space="0" w:color="auto"/>
        <w:bottom w:val="none" w:sz="0" w:space="0" w:color="auto"/>
        <w:right w:val="none" w:sz="0" w:space="0" w:color="auto"/>
      </w:divBdr>
    </w:div>
    <w:div w:id="1063335303">
      <w:bodyDiv w:val="1"/>
      <w:marLeft w:val="0"/>
      <w:marRight w:val="0"/>
      <w:marTop w:val="0"/>
      <w:marBottom w:val="0"/>
      <w:divBdr>
        <w:top w:val="none" w:sz="0" w:space="0" w:color="auto"/>
        <w:left w:val="none" w:sz="0" w:space="0" w:color="auto"/>
        <w:bottom w:val="none" w:sz="0" w:space="0" w:color="auto"/>
        <w:right w:val="none" w:sz="0" w:space="0" w:color="auto"/>
      </w:divBdr>
    </w:div>
    <w:div w:id="1101029288">
      <w:bodyDiv w:val="1"/>
      <w:marLeft w:val="0"/>
      <w:marRight w:val="0"/>
      <w:marTop w:val="0"/>
      <w:marBottom w:val="0"/>
      <w:divBdr>
        <w:top w:val="none" w:sz="0" w:space="0" w:color="auto"/>
        <w:left w:val="none" w:sz="0" w:space="0" w:color="auto"/>
        <w:bottom w:val="none" w:sz="0" w:space="0" w:color="auto"/>
        <w:right w:val="none" w:sz="0" w:space="0" w:color="auto"/>
      </w:divBdr>
    </w:div>
    <w:div w:id="1167985861">
      <w:bodyDiv w:val="1"/>
      <w:marLeft w:val="0"/>
      <w:marRight w:val="0"/>
      <w:marTop w:val="0"/>
      <w:marBottom w:val="0"/>
      <w:divBdr>
        <w:top w:val="none" w:sz="0" w:space="0" w:color="auto"/>
        <w:left w:val="none" w:sz="0" w:space="0" w:color="auto"/>
        <w:bottom w:val="none" w:sz="0" w:space="0" w:color="auto"/>
        <w:right w:val="none" w:sz="0" w:space="0" w:color="auto"/>
      </w:divBdr>
    </w:div>
    <w:div w:id="1222209326">
      <w:bodyDiv w:val="1"/>
      <w:marLeft w:val="0"/>
      <w:marRight w:val="0"/>
      <w:marTop w:val="0"/>
      <w:marBottom w:val="0"/>
      <w:divBdr>
        <w:top w:val="none" w:sz="0" w:space="0" w:color="auto"/>
        <w:left w:val="none" w:sz="0" w:space="0" w:color="auto"/>
        <w:bottom w:val="none" w:sz="0" w:space="0" w:color="auto"/>
        <w:right w:val="none" w:sz="0" w:space="0" w:color="auto"/>
      </w:divBdr>
    </w:div>
    <w:div w:id="1236478096">
      <w:bodyDiv w:val="1"/>
      <w:marLeft w:val="0"/>
      <w:marRight w:val="0"/>
      <w:marTop w:val="0"/>
      <w:marBottom w:val="0"/>
      <w:divBdr>
        <w:top w:val="none" w:sz="0" w:space="0" w:color="auto"/>
        <w:left w:val="none" w:sz="0" w:space="0" w:color="auto"/>
        <w:bottom w:val="none" w:sz="0" w:space="0" w:color="auto"/>
        <w:right w:val="none" w:sz="0" w:space="0" w:color="auto"/>
      </w:divBdr>
    </w:div>
    <w:div w:id="1285234691">
      <w:bodyDiv w:val="1"/>
      <w:marLeft w:val="0"/>
      <w:marRight w:val="0"/>
      <w:marTop w:val="0"/>
      <w:marBottom w:val="0"/>
      <w:divBdr>
        <w:top w:val="none" w:sz="0" w:space="0" w:color="auto"/>
        <w:left w:val="none" w:sz="0" w:space="0" w:color="auto"/>
        <w:bottom w:val="none" w:sz="0" w:space="0" w:color="auto"/>
        <w:right w:val="none" w:sz="0" w:space="0" w:color="auto"/>
      </w:divBdr>
    </w:div>
    <w:div w:id="1414275510">
      <w:bodyDiv w:val="1"/>
      <w:marLeft w:val="0"/>
      <w:marRight w:val="0"/>
      <w:marTop w:val="0"/>
      <w:marBottom w:val="0"/>
      <w:divBdr>
        <w:top w:val="none" w:sz="0" w:space="0" w:color="auto"/>
        <w:left w:val="none" w:sz="0" w:space="0" w:color="auto"/>
        <w:bottom w:val="none" w:sz="0" w:space="0" w:color="auto"/>
        <w:right w:val="none" w:sz="0" w:space="0" w:color="auto"/>
      </w:divBdr>
    </w:div>
    <w:div w:id="1443374954">
      <w:bodyDiv w:val="1"/>
      <w:marLeft w:val="0"/>
      <w:marRight w:val="0"/>
      <w:marTop w:val="0"/>
      <w:marBottom w:val="0"/>
      <w:divBdr>
        <w:top w:val="none" w:sz="0" w:space="0" w:color="auto"/>
        <w:left w:val="none" w:sz="0" w:space="0" w:color="auto"/>
        <w:bottom w:val="none" w:sz="0" w:space="0" w:color="auto"/>
        <w:right w:val="none" w:sz="0" w:space="0" w:color="auto"/>
      </w:divBdr>
    </w:div>
    <w:div w:id="1519389857">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729375214">
      <w:bodyDiv w:val="1"/>
      <w:marLeft w:val="0"/>
      <w:marRight w:val="0"/>
      <w:marTop w:val="0"/>
      <w:marBottom w:val="0"/>
      <w:divBdr>
        <w:top w:val="none" w:sz="0" w:space="0" w:color="auto"/>
        <w:left w:val="none" w:sz="0" w:space="0" w:color="auto"/>
        <w:bottom w:val="none" w:sz="0" w:space="0" w:color="auto"/>
        <w:right w:val="none" w:sz="0" w:space="0" w:color="auto"/>
      </w:divBdr>
    </w:div>
    <w:div w:id="1745755388">
      <w:bodyDiv w:val="1"/>
      <w:marLeft w:val="0"/>
      <w:marRight w:val="0"/>
      <w:marTop w:val="0"/>
      <w:marBottom w:val="0"/>
      <w:divBdr>
        <w:top w:val="none" w:sz="0" w:space="0" w:color="auto"/>
        <w:left w:val="none" w:sz="0" w:space="0" w:color="auto"/>
        <w:bottom w:val="none" w:sz="0" w:space="0" w:color="auto"/>
        <w:right w:val="none" w:sz="0" w:space="0" w:color="auto"/>
      </w:divBdr>
    </w:div>
    <w:div w:id="1776516598">
      <w:bodyDiv w:val="1"/>
      <w:marLeft w:val="0"/>
      <w:marRight w:val="0"/>
      <w:marTop w:val="0"/>
      <w:marBottom w:val="0"/>
      <w:divBdr>
        <w:top w:val="none" w:sz="0" w:space="0" w:color="auto"/>
        <w:left w:val="none" w:sz="0" w:space="0" w:color="auto"/>
        <w:bottom w:val="none" w:sz="0" w:space="0" w:color="auto"/>
        <w:right w:val="none" w:sz="0" w:space="0" w:color="auto"/>
      </w:divBdr>
    </w:div>
    <w:div w:id="1807428415">
      <w:bodyDiv w:val="1"/>
      <w:marLeft w:val="0"/>
      <w:marRight w:val="0"/>
      <w:marTop w:val="0"/>
      <w:marBottom w:val="0"/>
      <w:divBdr>
        <w:top w:val="none" w:sz="0" w:space="0" w:color="auto"/>
        <w:left w:val="none" w:sz="0" w:space="0" w:color="auto"/>
        <w:bottom w:val="none" w:sz="0" w:space="0" w:color="auto"/>
        <w:right w:val="none" w:sz="0" w:space="0" w:color="auto"/>
      </w:divBdr>
    </w:div>
    <w:div w:id="1921480002">
      <w:bodyDiv w:val="1"/>
      <w:marLeft w:val="0"/>
      <w:marRight w:val="0"/>
      <w:marTop w:val="0"/>
      <w:marBottom w:val="0"/>
      <w:divBdr>
        <w:top w:val="none" w:sz="0" w:space="0" w:color="auto"/>
        <w:left w:val="none" w:sz="0" w:space="0" w:color="auto"/>
        <w:bottom w:val="none" w:sz="0" w:space="0" w:color="auto"/>
        <w:right w:val="none" w:sz="0" w:space="0" w:color="auto"/>
      </w:divBdr>
    </w:div>
    <w:div w:id="1952007046">
      <w:bodyDiv w:val="1"/>
      <w:marLeft w:val="0"/>
      <w:marRight w:val="0"/>
      <w:marTop w:val="0"/>
      <w:marBottom w:val="0"/>
      <w:divBdr>
        <w:top w:val="none" w:sz="0" w:space="0" w:color="auto"/>
        <w:left w:val="none" w:sz="0" w:space="0" w:color="auto"/>
        <w:bottom w:val="none" w:sz="0" w:space="0" w:color="auto"/>
        <w:right w:val="none" w:sz="0" w:space="0" w:color="auto"/>
      </w:divBdr>
    </w:div>
    <w:div w:id="2023967905">
      <w:bodyDiv w:val="1"/>
      <w:marLeft w:val="0"/>
      <w:marRight w:val="0"/>
      <w:marTop w:val="0"/>
      <w:marBottom w:val="0"/>
      <w:divBdr>
        <w:top w:val="none" w:sz="0" w:space="0" w:color="auto"/>
        <w:left w:val="none" w:sz="0" w:space="0" w:color="auto"/>
        <w:bottom w:val="none" w:sz="0" w:space="0" w:color="auto"/>
        <w:right w:val="none" w:sz="0" w:space="0" w:color="auto"/>
      </w:divBdr>
    </w:div>
    <w:div w:id="2035107481">
      <w:bodyDiv w:val="1"/>
      <w:marLeft w:val="0"/>
      <w:marRight w:val="0"/>
      <w:marTop w:val="0"/>
      <w:marBottom w:val="0"/>
      <w:divBdr>
        <w:top w:val="none" w:sz="0" w:space="0" w:color="auto"/>
        <w:left w:val="none" w:sz="0" w:space="0" w:color="auto"/>
        <w:bottom w:val="none" w:sz="0" w:space="0" w:color="auto"/>
        <w:right w:val="none" w:sz="0" w:space="0" w:color="auto"/>
      </w:divBdr>
    </w:div>
    <w:div w:id="213131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ealthitboard.health.govt.nz/our-programmes/common-clinical-information/clinical-data-repository-and-clinical-workstations-1" TargetMode="External"/><Relationship Id="rId21" Type="http://schemas.openxmlformats.org/officeDocument/2006/relationships/hyperlink" Target="https://www.odi.govt.nz/guidance-and-resources/be-accessible-business-toolkit/" TargetMode="External"/><Relationship Id="rId42" Type="http://schemas.openxmlformats.org/officeDocument/2006/relationships/hyperlink" Target="https://www.building.govt.nz/building-code-compliance/d-access/" TargetMode="External"/><Relationship Id="rId63" Type="http://schemas.openxmlformats.org/officeDocument/2006/relationships/hyperlink" Target="https://learningcloud.nz/courses/1263/disability-awareness-working-with-people-with-disabilities" TargetMode="External"/><Relationship Id="rId84" Type="http://schemas.openxmlformats.org/officeDocument/2006/relationships/hyperlink" Target="http://www.arphs.health.nz/health-professionals/refugee-health/" TargetMode="External"/><Relationship Id="rId138" Type="http://schemas.openxmlformats.org/officeDocument/2006/relationships/hyperlink" Target="http://www.bpac.org.nz/BPJ/2013/October/cervical.aspx" TargetMode="External"/><Relationship Id="rId159" Type="http://schemas.openxmlformats.org/officeDocument/2006/relationships/hyperlink" Target="http://www.police.govt.nz/advice/businesses-and-organisations/vetting" TargetMode="External"/><Relationship Id="rId170" Type="http://schemas.openxmlformats.org/officeDocument/2006/relationships/hyperlink" Target="https://mas.co.nz/" TargetMode="External"/><Relationship Id="rId191" Type="http://schemas.openxmlformats.org/officeDocument/2006/relationships/hyperlink" Target="http://www.legislation.govt.nz/regulation/public/1977/0037/latest/DLM56104.html?p=1" TargetMode="External"/><Relationship Id="rId205" Type="http://schemas.openxmlformats.org/officeDocument/2006/relationships/hyperlink" Target="https://nzphvc.otago.ac.nz/carm/" TargetMode="External"/><Relationship Id="rId226" Type="http://schemas.openxmlformats.org/officeDocument/2006/relationships/hyperlink" Target="http://www.health.govt.nz/new-zealand-health-system/key-health-sector-organisations-and-people/primary-health-organisations?mega=NZ%20health%20system&amp;title=Primary%20health%20organisations" TargetMode="External"/><Relationship Id="rId107" Type="http://schemas.openxmlformats.org/officeDocument/2006/relationships/hyperlink" Target="http://www.patientsfirst.org.nz/services-products/gp2gp/" TargetMode="External"/><Relationship Id="rId11" Type="http://schemas.openxmlformats.org/officeDocument/2006/relationships/hyperlink" Target="https://www.hdc.org.nz/" TargetMode="External"/><Relationship Id="rId32" Type="http://schemas.openxmlformats.org/officeDocument/2006/relationships/hyperlink" Target="http://www.ombudsman.parliament.nz/system/paperclip/document_files/document_files/427/original/effective_complaint_handling.pdf?1349121913" TargetMode="External"/><Relationship Id="rId53" Type="http://schemas.openxmlformats.org/officeDocument/2006/relationships/hyperlink" Target="https://members.mauriora.co.nz/course/foundation-course-in-cultural-competency-maori/" TargetMode="External"/><Relationship Id="rId74" Type="http://schemas.openxmlformats.org/officeDocument/2006/relationships/hyperlink" Target="http://www.health.govt.nz/publication/ethnicity-data-protocols-health-and-disability-sector" TargetMode="External"/><Relationship Id="rId128" Type="http://schemas.openxmlformats.org/officeDocument/2006/relationships/hyperlink" Target="https://buy.stjohn.org.nz/first-aid/first-aid-courses/" TargetMode="External"/><Relationship Id="rId149" Type="http://schemas.openxmlformats.org/officeDocument/2006/relationships/hyperlink" Target="https://www.rnzcgp.org.nz/assets/documents/News--Events/CGP4044-Clinical-Effectiveness-Modules-Template-v2-LR.pdf" TargetMode="External"/><Relationship Id="rId5" Type="http://schemas.openxmlformats.org/officeDocument/2006/relationships/webSettings" Target="webSettings.xml"/><Relationship Id="rId95" Type="http://schemas.openxmlformats.org/officeDocument/2006/relationships/hyperlink" Target="https://www.health.govt.nz/our-work/ehealth" TargetMode="External"/><Relationship Id="rId160" Type="http://schemas.openxmlformats.org/officeDocument/2006/relationships/hyperlink" Target="http://www.police.govt.nz/sites/default/files/publications/new-zealand-police-vetting-service-approval-criteria.pdf" TargetMode="External"/><Relationship Id="rId181" Type="http://schemas.openxmlformats.org/officeDocument/2006/relationships/hyperlink" Target="https://nzphvc.otago.ac.nz/carm/" TargetMode="External"/><Relationship Id="rId216" Type="http://schemas.openxmlformats.org/officeDocument/2006/relationships/hyperlink" Target="https://nzphvc.otago.ac.nz/carm/" TargetMode="External"/><Relationship Id="rId22" Type="http://schemas.openxmlformats.org/officeDocument/2006/relationships/hyperlink" Target="https://www.hdc.org.nz/resources-publications/search-resources/leaflets/guidance-on-open-disclosure-policies/" TargetMode="External"/><Relationship Id="rId27" Type="http://schemas.openxmlformats.org/officeDocument/2006/relationships/hyperlink" Target="https://www.privacy.org.nz/assets/Files/Health-toolkit/On-The-Record.pdf" TargetMode="External"/><Relationship Id="rId43" Type="http://schemas.openxmlformats.org/officeDocument/2006/relationships/hyperlink" Target="https://www.building.govt.nz/building-code-compliance/building-code-and-handbooks/compliance-schedule-handbook/" TargetMode="External"/><Relationship Id="rId48" Type="http://schemas.openxmlformats.org/officeDocument/2006/relationships/hyperlink" Target="https://www.hqsc.govt.nz/our-programmes/health-quality-evaluation/projects/patient-experience/" TargetMode="External"/><Relationship Id="rId64" Type="http://schemas.openxmlformats.org/officeDocument/2006/relationships/hyperlink" Target="https://learningcloudnz.co.nz/courses/1263/disability-awareness-working-with-people-with-disabilities" TargetMode="External"/><Relationship Id="rId69" Type="http://schemas.openxmlformats.org/officeDocument/2006/relationships/hyperlink" Target="http://www.nzrelay.co.nz/" TargetMode="External"/><Relationship Id="rId113" Type="http://schemas.openxmlformats.org/officeDocument/2006/relationships/hyperlink" Target="https://www.mcnz.org.nz/assets/Uploads/Layout-draft-times-new-Roman.pdf" TargetMode="External"/><Relationship Id="rId118" Type="http://schemas.openxmlformats.org/officeDocument/2006/relationships/hyperlink" Target="http://healthitboard.health.govt.nz/our-programmes/shared-health-information/common-clinical-information/radiology-information-and" TargetMode="External"/><Relationship Id="rId134" Type="http://schemas.openxmlformats.org/officeDocument/2006/relationships/hyperlink" Target="https://www.nsu.govt.nz/pregnancy-newborn-screening/universal-newborn-hearing-screening-programme" TargetMode="External"/><Relationship Id="rId139" Type="http://schemas.openxmlformats.org/officeDocument/2006/relationships/hyperlink" Target="https://www.nsu.govt.nz/health-professionals/tools-and-resources/information-requests" TargetMode="External"/><Relationship Id="rId80" Type="http://schemas.openxmlformats.org/officeDocument/2006/relationships/hyperlink" Target="https://www.hdc.org.nz/your-rights/" TargetMode="External"/><Relationship Id="rId85" Type="http://schemas.openxmlformats.org/officeDocument/2006/relationships/hyperlink" Target="https://www.hqsc.govt.nz/our-programmes/partners-in-care/work-programmes/health-literacy/" TargetMode="External"/><Relationship Id="rId150" Type="http://schemas.openxmlformats.org/officeDocument/2006/relationships/hyperlink" Target="https://worksafe.govt.nz/" TargetMode="External"/><Relationship Id="rId155" Type="http://schemas.openxmlformats.org/officeDocument/2006/relationships/hyperlink" Target="https://www.iod.org.nz/Portals/0/Publications/Health%20and%20Safety%20Guide%20for%20SME.pdf" TargetMode="External"/><Relationship Id="rId171" Type="http://schemas.openxmlformats.org/officeDocument/2006/relationships/hyperlink" Target="https://aedlocations.co.nz/" TargetMode="External"/><Relationship Id="rId176" Type="http://schemas.openxmlformats.org/officeDocument/2006/relationships/hyperlink" Target="https://www.health.govt.nz/publication/annual-cold-chain-management-record" TargetMode="External"/><Relationship Id="rId192" Type="http://schemas.openxmlformats.org/officeDocument/2006/relationships/hyperlink" Target="http://www.health.govt.nz/our-work/regulation-health-and-disability-system/medicines-control/controlled-drugs" TargetMode="External"/><Relationship Id="rId197" Type="http://schemas.openxmlformats.org/officeDocument/2006/relationships/hyperlink" Target="https://www.nice.org.uk/guidance/CG139/chapter/introduction" TargetMode="External"/><Relationship Id="rId206" Type="http://schemas.openxmlformats.org/officeDocument/2006/relationships/hyperlink" Target="https://nzphvc.otago.ac.nz/merp/" TargetMode="External"/><Relationship Id="rId227" Type="http://schemas.openxmlformats.org/officeDocument/2006/relationships/hyperlink" Target="http://prime.stjohn.org.nz/about/" TargetMode="External"/><Relationship Id="rId201" Type="http://schemas.openxmlformats.org/officeDocument/2006/relationships/hyperlink" Target="https://www.hqsc.govt.nz/our-programmes/infection-prevention-and-control/projects/hand-hygiene/" TargetMode="External"/><Relationship Id="rId222" Type="http://schemas.openxmlformats.org/officeDocument/2006/relationships/hyperlink" Target="https://www.mcnz.org.nz/" TargetMode="External"/><Relationship Id="rId12" Type="http://schemas.openxmlformats.org/officeDocument/2006/relationships/hyperlink" Target="https://shop.hdc.org.nz/category/publications-for-free-download/" TargetMode="External"/><Relationship Id="rId17" Type="http://schemas.openxmlformats.org/officeDocument/2006/relationships/hyperlink" Target="https://www.healthnavigator.org.nz/languages/i/interpreter-services/" TargetMode="External"/><Relationship Id="rId33" Type="http://schemas.openxmlformats.org/officeDocument/2006/relationships/hyperlink" Target="https://shop.hdc.org.nz/product/174-learning-from-complaints/" TargetMode="External"/><Relationship Id="rId38" Type="http://schemas.openxmlformats.org/officeDocument/2006/relationships/hyperlink" Target="https://www.health.govt.nz/system/files/documents/publications/advance-care-planning-aug11.pdf" TargetMode="External"/><Relationship Id="rId59" Type="http://schemas.openxmlformats.org/officeDocument/2006/relationships/hyperlink" Target="https://www.ecald.com/courses/cald-cultural-competency-courses-for-working-with-patients/" TargetMode="External"/><Relationship Id="rId103" Type="http://schemas.openxmlformats.org/officeDocument/2006/relationships/hyperlink" Target="https://www.health.govt.nz/our-work/primary-health-care/about-primary-health-organisations/enrolment-primary-health-organisation" TargetMode="External"/><Relationship Id="rId108" Type="http://schemas.openxmlformats.org/officeDocument/2006/relationships/hyperlink" Target="http://www.mcnz.org.nz/assets/News-and-Publications/Statements/Maintenance-and-retention-of-records.pdf" TargetMode="External"/><Relationship Id="rId124" Type="http://schemas.openxmlformats.org/officeDocument/2006/relationships/hyperlink" Target="https://oldgp16.rnzcgp.org.nz/assets/New-website/Advocacy/PB6-2016-Apr-Managing-patient-test-results.pdf" TargetMode="External"/><Relationship Id="rId129" Type="http://schemas.openxmlformats.org/officeDocument/2006/relationships/hyperlink" Target="https://www.privacy.org.nz/news-and-publications/guidance-resources/privacy-and-cctv-a-guide-to-the-privacy-act-for-businesses-agencies-and-organisations/" TargetMode="External"/><Relationship Id="rId54" Type="http://schemas.openxmlformats.org/officeDocument/2006/relationships/hyperlink" Target="https://oldgp16.rnzcgp.org.nz/assets/New-website/Advocacy/Maori-Strategy-Documentv17WEB.pdf" TargetMode="External"/><Relationship Id="rId70" Type="http://schemas.openxmlformats.org/officeDocument/2006/relationships/hyperlink" Target="http://www.health.govt.nz/publication/refugee-health-care-handbook-health-professionals" TargetMode="External"/><Relationship Id="rId75" Type="http://schemas.openxmlformats.org/officeDocument/2006/relationships/hyperlink" Target="https://www.ecald.com/courses/cald-cultural-competency-courses-for-working-with-patients/" TargetMode="External"/><Relationship Id="rId91" Type="http://schemas.openxmlformats.org/officeDocument/2006/relationships/hyperlink" Target="https://www.patientsfirst.org.nz/downloads/gp-security-checklist-guide.pdf" TargetMode="External"/><Relationship Id="rId96" Type="http://schemas.openxmlformats.org/officeDocument/2006/relationships/hyperlink" Target="https://privacy.org.nz/news-and-publications/guidance-resources/health-privacy-toolkit/" TargetMode="External"/><Relationship Id="rId140" Type="http://schemas.openxmlformats.org/officeDocument/2006/relationships/hyperlink" Target="https://www.nsu.govt.nz/system/files/page/qualityprinciples25june14.pdf" TargetMode="External"/><Relationship Id="rId145" Type="http://schemas.openxmlformats.org/officeDocument/2006/relationships/hyperlink" Target="http://www.health.govt.nz/system/files/documents/pages/publichealthprimaryhealthcaresetting.pdf" TargetMode="External"/><Relationship Id="rId161" Type="http://schemas.openxmlformats.org/officeDocument/2006/relationships/hyperlink" Target="https://www.police.govt.nz/advice/businesses-and-organisations/vetting" TargetMode="External"/><Relationship Id="rId166" Type="http://schemas.openxmlformats.org/officeDocument/2006/relationships/hyperlink" Target="https://www.employment.govt.nz/" TargetMode="External"/><Relationship Id="rId182" Type="http://schemas.openxmlformats.org/officeDocument/2006/relationships/hyperlink" Target="https://www.health.govt.nz/publication/standing-order-guidelines" TargetMode="External"/><Relationship Id="rId187" Type="http://schemas.openxmlformats.org/officeDocument/2006/relationships/hyperlink" Target="https://www.health.govt.nz/system/files/documents/publications/implementing-medicines-new-zealand-2015-to-2020-jun15-v2.pdf" TargetMode="External"/><Relationship Id="rId217" Type="http://schemas.openxmlformats.org/officeDocument/2006/relationships/hyperlink" Target="https://onlineservices.fire.org.nz/Home/EvacuationSchem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health.govt.nz/our-work/emergency-management/national-health-emergency-plan" TargetMode="External"/><Relationship Id="rId233" Type="http://schemas.openxmlformats.org/officeDocument/2006/relationships/fontTable" Target="fontTable.xml"/><Relationship Id="rId23" Type="http://schemas.openxmlformats.org/officeDocument/2006/relationships/hyperlink" Target="https://www.mcnz.org.nz/assets/News-and-Publications/Statements/Disclosure-of-harm.pdf" TargetMode="External"/><Relationship Id="rId28" Type="http://schemas.openxmlformats.org/officeDocument/2006/relationships/hyperlink" Target="https://privacy.org.nz/further-resources/online-privacy-training-free/" TargetMode="External"/><Relationship Id="rId49" Type="http://schemas.openxmlformats.org/officeDocument/2006/relationships/hyperlink" Target="https://www.health.govt.nz/new-zealand-health-system/system-level-measures-framework" TargetMode="External"/><Relationship Id="rId114" Type="http://schemas.openxmlformats.org/officeDocument/2006/relationships/hyperlink" Target="https://www.hdc.org.nz/" TargetMode="External"/><Relationship Id="rId119" Type="http://schemas.openxmlformats.org/officeDocument/2006/relationships/hyperlink" Target="http://healthitboard.health.govt.nz/our-programmes/shared-health-information/maternity-information-systems-programme/maternity-clinical" TargetMode="External"/><Relationship Id="rId44" Type="http://schemas.openxmlformats.org/officeDocument/2006/relationships/hyperlink" Target="https://www.standards.govt.nz/assets/Publication-files/NZS4121-2001.pdf?utm_source=MBIE-BarrierFree&amp;utm_medium=link&amp;utm_content=NZS4121-2001&amp;utm_campaign=downloads" TargetMode="External"/><Relationship Id="rId60" Type="http://schemas.openxmlformats.org/officeDocument/2006/relationships/hyperlink" Target="https://diversityworksnz.org.nz/about-us/" TargetMode="External"/><Relationship Id="rId65" Type="http://schemas.openxmlformats.org/officeDocument/2006/relationships/hyperlink" Target="http://www.health.govt.nz/our-work/regulation-health-and-disability-system/health-practitioners-competence-assurance-act" TargetMode="External"/><Relationship Id="rId81" Type="http://schemas.openxmlformats.org/officeDocument/2006/relationships/hyperlink" Target="http://www.nzsti.org/" TargetMode="External"/><Relationship Id="rId86" Type="http://schemas.openxmlformats.org/officeDocument/2006/relationships/hyperlink" Target="http://www.beaccessible.org.nz/the-movement/about-be-accessible" TargetMode="External"/><Relationship Id="rId130" Type="http://schemas.openxmlformats.org/officeDocument/2006/relationships/hyperlink" Target="http://www.oag.govt.nz/2014/after-hours-services" TargetMode="External"/><Relationship Id="rId135" Type="http://schemas.openxmlformats.org/officeDocument/2006/relationships/hyperlink" Target="https://www.nsu.govt.nz/breastscreen-aotearoa" TargetMode="External"/><Relationship Id="rId151" Type="http://schemas.openxmlformats.org/officeDocument/2006/relationships/hyperlink" Target="https://worksafe.govt.nz/managing-health-and-safety/" TargetMode="External"/><Relationship Id="rId156" Type="http://schemas.openxmlformats.org/officeDocument/2006/relationships/hyperlink" Target="http://www.education.govt.nz/ministry-of-education/specific-initiatives/health-and-safety/" TargetMode="External"/><Relationship Id="rId177" Type="http://schemas.openxmlformats.org/officeDocument/2006/relationships/hyperlink" Target="https://www.health.govt.nz/system/files/documents/pages/sample_template_cold_chain_management_policy_2017.docx" TargetMode="External"/><Relationship Id="rId198" Type="http://schemas.openxmlformats.org/officeDocument/2006/relationships/hyperlink" Target="https://shop.standards.govt.nz/catalog/4815%3A2006%28AS%7CNZS%29/view" TargetMode="External"/><Relationship Id="rId172" Type="http://schemas.openxmlformats.org/officeDocument/2006/relationships/hyperlink" Target="http://www.legislation.govt.nz/regulation/public/2010/0036/73.0/DLM2763501.html" TargetMode="External"/><Relationship Id="rId193" Type="http://schemas.openxmlformats.org/officeDocument/2006/relationships/hyperlink" Target="https://www.health.govt.nz/system/files/documents/pages/controlled-drugs-prescribing-v1.pdf" TargetMode="External"/><Relationship Id="rId202" Type="http://schemas.openxmlformats.org/officeDocument/2006/relationships/hyperlink" Target="http://www.bpac.org.nz/BPJ/2013/August/upfront.aspx" TargetMode="External"/><Relationship Id="rId207" Type="http://schemas.openxmlformats.org/officeDocument/2006/relationships/hyperlink" Target="https://nzphvc.otago.ac.nz/psychoactive-substances/" TargetMode="External"/><Relationship Id="rId223" Type="http://schemas.openxmlformats.org/officeDocument/2006/relationships/hyperlink" Target="https://www.nsu.govt.nz/" TargetMode="External"/><Relationship Id="rId228" Type="http://schemas.openxmlformats.org/officeDocument/2006/relationships/hyperlink" Target="http://www.hqsc.govt.nz/assets/Reportable-Events/Resources/guide-to-using-sac-2008.pdf" TargetMode="External"/><Relationship Id="rId13" Type="http://schemas.openxmlformats.org/officeDocument/2006/relationships/hyperlink" Target="https://shop.hdc.org.nz/product/128-provider-dvd--making-it-easy-to-do-the-right-thing/" TargetMode="External"/><Relationship Id="rId18" Type="http://schemas.openxmlformats.org/officeDocument/2006/relationships/hyperlink" Target="https://www.healthnavigator.org.nz/languages/n/nz-sign-language-interpreters/" TargetMode="External"/><Relationship Id="rId39" Type="http://schemas.openxmlformats.org/officeDocument/2006/relationships/hyperlink" Target="http://neac.health.govt.nz/system/files/documents/publications/Ethical%20Challenges%20in%20Advance%20Planning%20FINAL_pdf.pdf" TargetMode="External"/><Relationship Id="rId109" Type="http://schemas.openxmlformats.org/officeDocument/2006/relationships/hyperlink" Target="http://www.hdc.org.nz/publications/other-publications-from-hdc/articles/2008/managing-patient-test-results" TargetMode="External"/><Relationship Id="rId34" Type="http://schemas.openxmlformats.org/officeDocument/2006/relationships/hyperlink" Target="https://oldgp16.rnzcgp.org.nz/assets/New-website/Quality/Draftv1RecordReviewAUGUST2018.pdf" TargetMode="External"/><Relationship Id="rId50" Type="http://schemas.openxmlformats.org/officeDocument/2006/relationships/hyperlink" Target="https://learnonline.health.nz/course/category.php?id=84" TargetMode="External"/><Relationship Id="rId55" Type="http://schemas.openxmlformats.org/officeDocument/2006/relationships/hyperlink" Target="http://www.mcnz.org.nz/assets/News-and-Publications/Statements/Best-health-outcomes-for-Maori.pdf" TargetMode="External"/><Relationship Id="rId76" Type="http://schemas.openxmlformats.org/officeDocument/2006/relationships/hyperlink" Target="https://members.mauriora.co.nz/" TargetMode="External"/><Relationship Id="rId97" Type="http://schemas.openxmlformats.org/officeDocument/2006/relationships/hyperlink" Target="https://privacy.org.nz/assets/Files/Codes-of-Practice-materials/HIPC-1994-incl.-amendments-revised-commentary-edit.pdf" TargetMode="External"/><Relationship Id="rId104" Type="http://schemas.openxmlformats.org/officeDocument/2006/relationships/hyperlink" Target="https://www.health.govt.nz/our-work/primary-health-care/primary-health-care-subsidies-and-services/national-enrolment-service" TargetMode="External"/><Relationship Id="rId120" Type="http://schemas.openxmlformats.org/officeDocument/2006/relationships/hyperlink" Target="https://www.mcnz.org.nz/assets/News-and-Publications/good-medical-practice.pdf" TargetMode="External"/><Relationship Id="rId125" Type="http://schemas.openxmlformats.org/officeDocument/2006/relationships/hyperlink" Target="https://www.privacy.org.nz/news-and-publications/guidance-resources/privacy-and-cctv-a-guide-to-the-privacy-act-for-businesses-agencies-and-organisations/" TargetMode="External"/><Relationship Id="rId141" Type="http://schemas.openxmlformats.org/officeDocument/2006/relationships/hyperlink" Target="https://www.nsu.govt.nz/" TargetMode="External"/><Relationship Id="rId146" Type="http://schemas.openxmlformats.org/officeDocument/2006/relationships/hyperlink" Target="https://www.healthed.govt.nz/home" TargetMode="External"/><Relationship Id="rId167" Type="http://schemas.openxmlformats.org/officeDocument/2006/relationships/hyperlink" Target="https://www.gpa.net.au/general-practices/templates/" TargetMode="External"/><Relationship Id="rId188" Type="http://schemas.openxmlformats.org/officeDocument/2006/relationships/hyperlink" Target="http://www.health.govt.nz/our-work/regulation-health-and-disability-system/medicines-control/controlled-drugs" TargetMode="External"/><Relationship Id="rId7" Type="http://schemas.openxmlformats.org/officeDocument/2006/relationships/endnotes" Target="endnotes.xml"/><Relationship Id="rId71" Type="http://schemas.openxmlformats.org/officeDocument/2006/relationships/hyperlink" Target="http://www.mcnz.org.nz/assets/News-and-Publications/Statements/Statement-on-cultural-competence.pdf" TargetMode="External"/><Relationship Id="rId92" Type="http://schemas.openxmlformats.org/officeDocument/2006/relationships/hyperlink" Target="https://www.patientsfirst.org.nz/downloads/gp-security-checklist.pdf" TargetMode="External"/><Relationship Id="rId162" Type="http://schemas.openxmlformats.org/officeDocument/2006/relationships/hyperlink" Target="https://www.realme.govt.nz/what-it-is/" TargetMode="External"/><Relationship Id="rId183" Type="http://schemas.openxmlformats.org/officeDocument/2006/relationships/hyperlink" Target="https://www.mcnz.org.nz/assets/News-and-Publications/Statements/Good-prescribing-practice.pdf" TargetMode="External"/><Relationship Id="rId213" Type="http://schemas.openxmlformats.org/officeDocument/2006/relationships/hyperlink" Target="https://www.health.govt.nz/your-health/healthy-living/emergency-management/pandemic-planning-and-response/health-sector-pandemic-influenza-guidance-0" TargetMode="External"/><Relationship Id="rId218" Type="http://schemas.openxmlformats.org/officeDocument/2006/relationships/hyperlink" Target="http://www.patientsfirst.org.nz/services-products/gp2gp/"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hdc.org.nz/the-act--code/the-code-of-rights/the-code-(full)" TargetMode="External"/><Relationship Id="rId24" Type="http://schemas.openxmlformats.org/officeDocument/2006/relationships/hyperlink" Target="https://www.hqsc.govt.nz/our-programmes/adverse-events/national-adverse-events-policy/" TargetMode="External"/><Relationship Id="rId40" Type="http://schemas.openxmlformats.org/officeDocument/2006/relationships/hyperlink" Target="https://www.hdc.org.nz/resources-publications/search-resources/fact-sheets/consent-for-consumers-who-are-not-competent-fact-sheet-1/" TargetMode="External"/><Relationship Id="rId45" Type="http://schemas.openxmlformats.org/officeDocument/2006/relationships/hyperlink" Target="https://onlineservices.fire.org.nz/home/evacuationschemes" TargetMode="External"/><Relationship Id="rId66" Type="http://schemas.openxmlformats.org/officeDocument/2006/relationships/hyperlink" Target="http://www.health.govt.nz/our-work/primary-health-care/about-primary-health-organisations/enrolment-primary-health-organisation" TargetMode="External"/><Relationship Id="rId87" Type="http://schemas.openxmlformats.org/officeDocument/2006/relationships/hyperlink" Target="http://www.patientsfirst.org.nz/services-products/general-practice-ict-security-checklist/" TargetMode="External"/><Relationship Id="rId110" Type="http://schemas.openxmlformats.org/officeDocument/2006/relationships/hyperlink" Target="https://www.privacy.org.nz/the-privacy-act-and-codes/codes-of-practice/health-information-privacy-code/" TargetMode="External"/><Relationship Id="rId115" Type="http://schemas.openxmlformats.org/officeDocument/2006/relationships/hyperlink" Target="https://www.mcnz.org.nz/assets/News-and-Publications/good-medical-practice.pdf" TargetMode="External"/><Relationship Id="rId131" Type="http://schemas.openxmlformats.org/officeDocument/2006/relationships/hyperlink" Target="https://www.nsu.govt.nz/" TargetMode="External"/><Relationship Id="rId136" Type="http://schemas.openxmlformats.org/officeDocument/2006/relationships/hyperlink" Target="https://www.nsu.govt.nz/national-cervical-screening-programme" TargetMode="External"/><Relationship Id="rId157" Type="http://schemas.openxmlformats.org/officeDocument/2006/relationships/hyperlink" Target="https://www.orangatamariki.govt.nz/working-with-children/childrens-act-requirements/" TargetMode="External"/><Relationship Id="rId178" Type="http://schemas.openxmlformats.org/officeDocument/2006/relationships/hyperlink" Target="http://www.health.govt.nz/our-work/preventative-health-wellness/immunisation/national-immunisation-programme-cold-chain-management" TargetMode="External"/><Relationship Id="rId61" Type="http://schemas.openxmlformats.org/officeDocument/2006/relationships/hyperlink" Target="https://www.ry.org.nz/what-we-do/pd" TargetMode="External"/><Relationship Id="rId82" Type="http://schemas.openxmlformats.org/officeDocument/2006/relationships/hyperlink" Target="http://ethniccommunities.govt.nz/browse/language-line" TargetMode="External"/><Relationship Id="rId152" Type="http://schemas.openxmlformats.org/officeDocument/2006/relationships/hyperlink" Target="https://worksafe.govt.nz/topic-and-industry/hazardous-substances/managing/what-the-hazardous-substances-regulations-mean-for-you/" TargetMode="External"/><Relationship Id="rId173" Type="http://schemas.openxmlformats.org/officeDocument/2006/relationships/hyperlink" Target="https://worksafe.govt.nz/about-us/campaigns/energy-safety-summer/rcd-safety/" TargetMode="External"/><Relationship Id="rId194" Type="http://schemas.openxmlformats.org/officeDocument/2006/relationships/hyperlink" Target="https://www.mcnz.org.nz/assets/News-and-Publications/Statements/Good-prescribing-practice.pdf" TargetMode="External"/><Relationship Id="rId199" Type="http://schemas.openxmlformats.org/officeDocument/2006/relationships/hyperlink" Target="https://shop.standards.govt.nz/catalog/4304%3A2002(NZS)/view" TargetMode="External"/><Relationship Id="rId203" Type="http://schemas.openxmlformats.org/officeDocument/2006/relationships/hyperlink" Target="http://www.hqsc.govt.nz/our-programmes/adverse-events/publications-and-resources/publication/636/" TargetMode="External"/><Relationship Id="rId208" Type="http://schemas.openxmlformats.org/officeDocument/2006/relationships/hyperlink" Target="https://nzphvc.otago.ac.nz/reporting/" TargetMode="External"/><Relationship Id="rId229" Type="http://schemas.openxmlformats.org/officeDocument/2006/relationships/hyperlink" Target="http://www.hqsc.govt.nz/assets/Reportable-Events/Resources/guide-to-using-sac-2008.pdf" TargetMode="External"/><Relationship Id="rId19" Type="http://schemas.openxmlformats.org/officeDocument/2006/relationships/hyperlink" Target="https://www.odi.govt.nz/guidance-and-resources/?tg18%5B0%5D=19&amp;start=11" TargetMode="External"/><Relationship Id="rId224" Type="http://schemas.openxmlformats.org/officeDocument/2006/relationships/hyperlink" Target="http://healthitboard.health.govt.nz/our-programmes/emedicines/nz-eprescription-service-nzeps" TargetMode="External"/><Relationship Id="rId14" Type="http://schemas.openxmlformats.org/officeDocument/2006/relationships/hyperlink" Target="https://www.hdc.org.nz/media/2759/advocacy-leaflet.pdf" TargetMode="External"/><Relationship Id="rId30" Type="http://schemas.openxmlformats.org/officeDocument/2006/relationships/hyperlink" Target="https://www.hdc.org.nz/resources-publications/search-resources/disability/complaints-management-guide-for-disability-service-managers/" TargetMode="External"/><Relationship Id="rId35" Type="http://schemas.openxmlformats.org/officeDocument/2006/relationships/hyperlink" Target="https://oldgp16.rnzcgp.org.nz/assets/New-website/Quality/Draftv1RecordReviewAUGUST2018.pdf" TargetMode="External"/><Relationship Id="rId56" Type="http://schemas.openxmlformats.org/officeDocument/2006/relationships/hyperlink" Target="http://www.tetaurawhiri.govt.nz/the-landscape-of-aotearoa-will-resonate-with-our-indigenous-language/" TargetMode="External"/><Relationship Id="rId77" Type="http://schemas.openxmlformats.org/officeDocument/2006/relationships/hyperlink" Target="http://deaf.org.nz/" TargetMode="External"/><Relationship Id="rId100" Type="http://schemas.openxmlformats.org/officeDocument/2006/relationships/hyperlink" Target="http://www.health.govt.nz/publication/enrolment-requirements-primary-health-organisations" TargetMode="External"/><Relationship Id="rId105" Type="http://schemas.openxmlformats.org/officeDocument/2006/relationships/hyperlink" Target="http://www.mcnz.org.nz/assets/News-and-Publications/Statements/Maintenance-and-retention-of-records.pdf" TargetMode="External"/><Relationship Id="rId126" Type="http://schemas.openxmlformats.org/officeDocument/2006/relationships/hyperlink" Target="http://www.nzrc.org.nz/guidelines/" TargetMode="External"/><Relationship Id="rId147" Type="http://schemas.openxmlformats.org/officeDocument/2006/relationships/hyperlink" Target="http://www.hpa.org.nz/" TargetMode="External"/><Relationship Id="rId168" Type="http://schemas.openxmlformats.org/officeDocument/2006/relationships/hyperlink" Target="https://www.bmj.com/content/330/7499/gp190/related" TargetMode="External"/><Relationship Id="rId8" Type="http://schemas.openxmlformats.org/officeDocument/2006/relationships/image" Target="media/image1.png"/><Relationship Id="rId51" Type="http://schemas.openxmlformats.org/officeDocument/2006/relationships/hyperlink" Target="https://learnonline.health.nz/course/category.php?id=84" TargetMode="External"/><Relationship Id="rId72" Type="http://schemas.openxmlformats.org/officeDocument/2006/relationships/hyperlink" Target="http://www.mcnz.org.nz/assets/News-and-Publications/Statements/Best-health-outcomes-for-Maori.pdf" TargetMode="External"/><Relationship Id="rId93" Type="http://schemas.openxmlformats.org/officeDocument/2006/relationships/hyperlink" Target="https://shop.standards.govt.nz/catalog/8170%3A2005%28SNZPAS%29/view" TargetMode="External"/><Relationship Id="rId98" Type="http://schemas.openxmlformats.org/officeDocument/2006/relationships/hyperlink" Target="http://healthitboard.health.govt.nz/standards/endorsed-standards/primary-health-care-practice-management-systems" TargetMode="External"/><Relationship Id="rId121" Type="http://schemas.openxmlformats.org/officeDocument/2006/relationships/hyperlink" Target="https://www.mcnz.org.nz/assets/News-and-Publications/good-medical-practice.pdf" TargetMode="External"/><Relationship Id="rId142" Type="http://schemas.openxmlformats.org/officeDocument/2006/relationships/hyperlink" Target="http://www.who.int/healthpromotion/conferences/previous/ottawa/en/" TargetMode="External"/><Relationship Id="rId163" Type="http://schemas.openxmlformats.org/officeDocument/2006/relationships/hyperlink" Target="https://www.mcnz.org.nz/home/doctors-already-practising-in-new-zealand/" TargetMode="External"/><Relationship Id="rId184" Type="http://schemas.openxmlformats.org/officeDocument/2006/relationships/hyperlink" Target="https://www.nzno.org.nz/resources/medicines_-_guidelines_and_information" TargetMode="External"/><Relationship Id="rId189" Type="http://schemas.openxmlformats.org/officeDocument/2006/relationships/hyperlink" Target="http://www.legislation.govt.nz/regulation/public/1977/0037/latest/DLM55960.html?p=1" TargetMode="External"/><Relationship Id="rId219" Type="http://schemas.openxmlformats.org/officeDocument/2006/relationships/hyperlink" Target="http://healthitboard.health.govt.nz/health-it-groups/health-information-standards-organisation-hiso" TargetMode="External"/><Relationship Id="rId3" Type="http://schemas.openxmlformats.org/officeDocument/2006/relationships/styles" Target="styles.xml"/><Relationship Id="rId214" Type="http://schemas.openxmlformats.org/officeDocument/2006/relationships/hyperlink" Target="https://www.civildefence.govt.nz/" TargetMode="External"/><Relationship Id="rId230" Type="http://schemas.openxmlformats.org/officeDocument/2006/relationships/hyperlink" Target="http://www.hdc.org.nz/the-act--code/the-code-of-rights/the-code-(full)" TargetMode="External"/><Relationship Id="rId25" Type="http://schemas.openxmlformats.org/officeDocument/2006/relationships/hyperlink" Target="https://www.mcnz.org.nz/assets/News-and-Publications/Statements/Disclosure-of-harm.pdf" TargetMode="External"/><Relationship Id="rId46" Type="http://schemas.openxmlformats.org/officeDocument/2006/relationships/hyperlink" Target="http://www.legislation.govt.nz/regulation/public/2018/0096/latest/LMS46332.html?src=qs" TargetMode="External"/><Relationship Id="rId67" Type="http://schemas.openxmlformats.org/officeDocument/2006/relationships/hyperlink" Target="http://www.health.govt.nz/publication/ethnicity-data-protocols-health-and-disability-sector" TargetMode="External"/><Relationship Id="rId116" Type="http://schemas.openxmlformats.org/officeDocument/2006/relationships/hyperlink" Target="http://healthitboard.health.govt.nz/our-programmes/common-clinical-information/clinical-data-repository-and-clinical-workstations-0" TargetMode="External"/><Relationship Id="rId137" Type="http://schemas.openxmlformats.org/officeDocument/2006/relationships/hyperlink" Target="http://www.health.govt.nz/our-work/diseases-and-conditions/cancer-programme/bowel-cancer-programme/national-bowel-screening-programme" TargetMode="External"/><Relationship Id="rId158" Type="http://schemas.openxmlformats.org/officeDocument/2006/relationships/hyperlink" Target="https://www.health.govt.nz/our-work/health-workforce/childrens-action-plan-childrens-worker-safety-checking-and-child-protection-policies" TargetMode="External"/><Relationship Id="rId20" Type="http://schemas.openxmlformats.org/officeDocument/2006/relationships/hyperlink" Target="https://www.odi.govt.nz/home/about-disability/disability-etiquette/" TargetMode="External"/><Relationship Id="rId41" Type="http://schemas.openxmlformats.org/officeDocument/2006/relationships/hyperlink" Target="https://www.nzma.org.nz/patients-guide/advance-directive" TargetMode="External"/><Relationship Id="rId62" Type="http://schemas.openxmlformats.org/officeDocument/2006/relationships/hyperlink" Target="https://www.lifeunlimited.net.nz/disability-information/disability-start-workshops/" TargetMode="External"/><Relationship Id="rId83" Type="http://schemas.openxmlformats.org/officeDocument/2006/relationships/hyperlink" Target="http://www.nzrelay.co.nz/" TargetMode="External"/><Relationship Id="rId88" Type="http://schemas.openxmlformats.org/officeDocument/2006/relationships/hyperlink" Target="http://www.patientsfirst.org.nz/services-products/general-practice-ict-security-checklist/" TargetMode="External"/><Relationship Id="rId111" Type="http://schemas.openxmlformats.org/officeDocument/2006/relationships/hyperlink" Target="https://oldgp16.rnzcgp.org.nz/assets/New-website/Advocacy/PB6-2016-Apr-Managing-patient-test-results.pdf" TargetMode="External"/><Relationship Id="rId132" Type="http://schemas.openxmlformats.org/officeDocument/2006/relationships/hyperlink" Target="https://www.nsu.govt.nz/pregnancy-newborn-screening/hiv-testing-pregnancy" TargetMode="External"/><Relationship Id="rId153" Type="http://schemas.openxmlformats.org/officeDocument/2006/relationships/hyperlink" Target="https://www.hazardoussubstances.govt.nz/" TargetMode="External"/><Relationship Id="rId174" Type="http://schemas.openxmlformats.org/officeDocument/2006/relationships/hyperlink" Target="http://www.energysafety.govt.nz/about/news-and-updates/archive-media-releases/2006-archived-media-releases/lifesavers-2013-rcds-and-electrical-safety-15-january-2008" TargetMode="External"/><Relationship Id="rId179" Type="http://schemas.openxmlformats.org/officeDocument/2006/relationships/hyperlink" Target="http://www.immune.org.nz/" TargetMode="External"/><Relationship Id="rId195" Type="http://schemas.openxmlformats.org/officeDocument/2006/relationships/hyperlink" Target="https://itunes.apple.com/nz/app/pharmacy-procedures-manual/id1061010761?mt=8" TargetMode="External"/><Relationship Id="rId209" Type="http://schemas.openxmlformats.org/officeDocument/2006/relationships/hyperlink" Target="https://www.hqsc.govt.nz/our-programmes/adverse-events/publications-and-resources/publication/2933/" TargetMode="External"/><Relationship Id="rId190" Type="http://schemas.openxmlformats.org/officeDocument/2006/relationships/hyperlink" Target="http://www.hiltonpress.co.nz/Controlled_Drugs__Registers.php" TargetMode="External"/><Relationship Id="rId204" Type="http://schemas.openxmlformats.org/officeDocument/2006/relationships/hyperlink" Target="https://nzphvc.otago.ac.nz/" TargetMode="External"/><Relationship Id="rId220" Type="http://schemas.openxmlformats.org/officeDocument/2006/relationships/hyperlink" Target="http://www.health.govt.nz/our-work/regulation-health-and-disability-system/health-practitioners-competence-assurance-act" TargetMode="External"/><Relationship Id="rId225" Type="http://schemas.openxmlformats.org/officeDocument/2006/relationships/hyperlink" Target="http://www.hqsc.govt.nz/our-programmes/health-quality-evaluation/projects/health-quality-and-safety-indicators/patient-experience/primary-care-patient-experience/" TargetMode="External"/><Relationship Id="rId15" Type="http://schemas.openxmlformats.org/officeDocument/2006/relationships/hyperlink" Target="https://www.advocacy.org.nz/advocacy-service-education-and-resources/" TargetMode="External"/><Relationship Id="rId36" Type="http://schemas.openxmlformats.org/officeDocument/2006/relationships/hyperlink" Target="http://www.hdc.org.nz/the-act--code/the-code-of-rights/" TargetMode="External"/><Relationship Id="rId57" Type="http://schemas.openxmlformats.org/officeDocument/2006/relationships/hyperlink" Target="https://www.health.govt.nz/publication/tikanga-rongoa" TargetMode="External"/><Relationship Id="rId106" Type="http://schemas.openxmlformats.org/officeDocument/2006/relationships/hyperlink" Target="https://www.health.govt.nz/publication/hiso-100012017-ethnicity-data-protocols" TargetMode="External"/><Relationship Id="rId127" Type="http://schemas.openxmlformats.org/officeDocument/2006/relationships/hyperlink" Target="http://www.nzrc.org.nz/training/" TargetMode="External"/><Relationship Id="rId10" Type="http://schemas.openxmlformats.org/officeDocument/2006/relationships/hyperlink" Target="http://www.hdc.org.nz/the-act--code/the-code-of-rights/the-code-(full)" TargetMode="External"/><Relationship Id="rId31" Type="http://schemas.openxmlformats.org/officeDocument/2006/relationships/hyperlink" Target="https://www.hdc.org.nz/resources-publications/search-resources/fact-sheets/timeframes-for-responding-to-complaints-under-right-10-of-the-code-fact-sheet-3/" TargetMode="External"/><Relationship Id="rId52" Type="http://schemas.openxmlformats.org/officeDocument/2006/relationships/hyperlink" Target="https://members.mauriora.co.nz/course/foundation-course-in-cultural-competency-maori/" TargetMode="External"/><Relationship Id="rId73" Type="http://schemas.openxmlformats.org/officeDocument/2006/relationships/hyperlink" Target="http://www.mcnz.org.nz/assets/News-and-Publications/Statements/Best-health-outcomes-for-Pacific-Peoples.pdf" TargetMode="External"/><Relationship Id="rId78" Type="http://schemas.openxmlformats.org/officeDocument/2006/relationships/hyperlink" Target="http://www.healthnavigator.org.nz/" TargetMode="External"/><Relationship Id="rId94" Type="http://schemas.openxmlformats.org/officeDocument/2006/relationships/hyperlink" Target="https://www.health.govt.nz/publication/hiso-100292015-health-information-security-framework" TargetMode="External"/><Relationship Id="rId99" Type="http://schemas.openxmlformats.org/officeDocument/2006/relationships/hyperlink" Target="http://www.legislation.govt.nz/regulation/public/1996/0343/latest/DLM225616.html" TargetMode="External"/><Relationship Id="rId101" Type="http://schemas.openxmlformats.org/officeDocument/2006/relationships/hyperlink" Target="http://www.health.govt.nz/system/files/documents/pages/enrolling-with-a-pho-jul14.pdf" TargetMode="External"/><Relationship Id="rId122" Type="http://schemas.openxmlformats.org/officeDocument/2006/relationships/hyperlink" Target="https://www.medicalprotection.org/newzealand/casebook-resources/factsheets/factsheets/nz-transfer-of-health-information-between-healthcare-professionals" TargetMode="External"/><Relationship Id="rId143" Type="http://schemas.openxmlformats.org/officeDocument/2006/relationships/hyperlink" Target="http://www.health.govt.nz/our-work/primary-health-care/primary-health-care-subsidies-and-services/health-promotion-primary-health-care" TargetMode="External"/><Relationship Id="rId148" Type="http://schemas.openxmlformats.org/officeDocument/2006/relationships/hyperlink" Target="http://www.healthnavigator.org.nz/" TargetMode="External"/><Relationship Id="rId164" Type="http://schemas.openxmlformats.org/officeDocument/2006/relationships/hyperlink" Target="http://www.nursingcouncil.org.nz/" TargetMode="External"/><Relationship Id="rId169" Type="http://schemas.openxmlformats.org/officeDocument/2006/relationships/hyperlink" Target="http://www.business.govt.nz/staff-and-hr/employee-and-team-performance/performance-appraisals" TargetMode="External"/><Relationship Id="rId185" Type="http://schemas.openxmlformats.org/officeDocument/2006/relationships/hyperlink" Target="http://healthitboard.health.govt.nz/our-programmes/emedicines/nz-eprescription-service-nzeps" TargetMode="External"/><Relationship Id="rId4" Type="http://schemas.openxmlformats.org/officeDocument/2006/relationships/settings" Target="settings.xml"/><Relationship Id="rId9" Type="http://schemas.openxmlformats.org/officeDocument/2006/relationships/hyperlink" Target="https://shop.hdc.org.nz/category/publications-for-free-download/" TargetMode="External"/><Relationship Id="rId180" Type="http://schemas.openxmlformats.org/officeDocument/2006/relationships/hyperlink" Target="https://www.health.govt.nz/publication/immunisation-handbook-2017" TargetMode="External"/><Relationship Id="rId210" Type="http://schemas.openxmlformats.org/officeDocument/2006/relationships/hyperlink" Target="https://www.health.govt.nz/our-work/emergency-management/emergency-management-disaster-planning-and-business-continuity-primary-care" TargetMode="External"/><Relationship Id="rId215" Type="http://schemas.openxmlformats.org/officeDocument/2006/relationships/hyperlink" Target="https://www.climatechange.govt.nz/physical-impacts-and-adaptation/" TargetMode="External"/><Relationship Id="rId26" Type="http://schemas.openxmlformats.org/officeDocument/2006/relationships/hyperlink" Target="https://www.privacy.org.nz/the-privacy-act-and-codes/codes-of-practice/health-information-privacy-code/" TargetMode="External"/><Relationship Id="rId231" Type="http://schemas.openxmlformats.org/officeDocument/2006/relationships/footer" Target="footer1.xml"/><Relationship Id="rId47" Type="http://schemas.openxmlformats.org/officeDocument/2006/relationships/hyperlink" Target="https://www.hqsc.govt.nz/our-programmes/health-quality-evaluation/projects/patient-experience/" TargetMode="External"/><Relationship Id="rId68" Type="http://schemas.openxmlformats.org/officeDocument/2006/relationships/hyperlink" Target="http://ethniccommunities.govt.nz/browse/language-line" TargetMode="External"/><Relationship Id="rId89" Type="http://schemas.openxmlformats.org/officeDocument/2006/relationships/hyperlink" Target="https://www.business.govt.nz/risks-and-operations/it-risk-and-avoiding-scams/protecting-business-data/" TargetMode="External"/><Relationship Id="rId112" Type="http://schemas.openxmlformats.org/officeDocument/2006/relationships/hyperlink" Target="http://www.medicalprotection.org/newzealand/casebook-may-2015/handling-test-results" TargetMode="External"/><Relationship Id="rId133" Type="http://schemas.openxmlformats.org/officeDocument/2006/relationships/hyperlink" Target="https://www.nsu.govt.nz/pregnancy-newborn-screening/newborn-metabolic-screening-programme-heel-prick-test" TargetMode="External"/><Relationship Id="rId154" Type="http://schemas.openxmlformats.org/officeDocument/2006/relationships/hyperlink" Target="https://oldgp16.rnzcgp.org.nz/assets/New-website/Quality/Health-and-safety-things-to-think-about-April-2016-1.pdf" TargetMode="External"/><Relationship Id="rId175" Type="http://schemas.openxmlformats.org/officeDocument/2006/relationships/hyperlink" Target="https://www.health.govt.nz/publication/national-standards-vaccine-storage-and-transportation-immunisation-providers-2017" TargetMode="External"/><Relationship Id="rId196" Type="http://schemas.openxmlformats.org/officeDocument/2006/relationships/hyperlink" Target="http://www.medicalprotection.org/uk/practice-matters-issue-7/risk-alert-controlled-drugs" TargetMode="External"/><Relationship Id="rId200" Type="http://schemas.openxmlformats.org/officeDocument/2006/relationships/hyperlink" Target="https://bpac.org.nz/BT/2014/November/exposure.aspx" TargetMode="External"/><Relationship Id="rId16" Type="http://schemas.openxmlformats.org/officeDocument/2006/relationships/hyperlink" Target="https://www.advocacy.org.nz/advocacy-service-education-and-resources/arranging-for-an-advocate-to-provide-an-education-or-a-rights-promotion-session/" TargetMode="External"/><Relationship Id="rId221" Type="http://schemas.openxmlformats.org/officeDocument/2006/relationships/hyperlink" Target="http://www.hqsc.govt.nz/" TargetMode="External"/><Relationship Id="rId37" Type="http://schemas.openxmlformats.org/officeDocument/2006/relationships/hyperlink" Target="https://www.mcnz.org.nz/assets/News-and-Publications/Statements/Information-choice-of-treatment-and-informed-consent.pdf" TargetMode="External"/><Relationship Id="rId58" Type="http://schemas.openxmlformats.org/officeDocument/2006/relationships/hyperlink" Target="https://oldgp16.rnzcgp.org.nz/assets/New-website/Advocacy/Maori-Strategy-Documentv17WEB.pdf" TargetMode="External"/><Relationship Id="rId79" Type="http://schemas.openxmlformats.org/officeDocument/2006/relationships/hyperlink" Target="https://www.dia.govt.nz/Translation-Service" TargetMode="External"/><Relationship Id="rId102" Type="http://schemas.openxmlformats.org/officeDocument/2006/relationships/hyperlink" Target="http://www.health.govt.nz/publication/ethnicity-data-protocols-health-and-disability-sector" TargetMode="External"/><Relationship Id="rId123" Type="http://schemas.openxmlformats.org/officeDocument/2006/relationships/hyperlink" Target="https://www.mcnz.org.nz/assets/News-and-Publications/good-medical-practice.pdf" TargetMode="External"/><Relationship Id="rId144" Type="http://schemas.openxmlformats.org/officeDocument/2006/relationships/hyperlink" Target="http://www.health.govt.nz/our-work/preventative-health-wellness" TargetMode="External"/><Relationship Id="rId90" Type="http://schemas.openxmlformats.org/officeDocument/2006/relationships/hyperlink" Target="http://www.patientsfirst.org.nz/services-products/general-practice-ict-security-checklist/" TargetMode="External"/><Relationship Id="rId165" Type="http://schemas.openxmlformats.org/officeDocument/2006/relationships/hyperlink" Target="http://www.legislation.govt.nz/act/public/2000/0024/latest/DLM58317.html" TargetMode="External"/><Relationship Id="rId186" Type="http://schemas.openxmlformats.org/officeDocument/2006/relationships/hyperlink" Target="http://nzformulary.org/" TargetMode="External"/><Relationship Id="rId211" Type="http://schemas.openxmlformats.org/officeDocument/2006/relationships/hyperlink" Target="http://www.health.govt.nz/your-health/healthy-living/emergency-management" TargetMode="External"/><Relationship Id="rId23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A32B-C556-4243-A965-E007EA43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32900</Words>
  <Characters>148054</Characters>
  <Application>Microsoft Office Word</Application>
  <DocSecurity>0</DocSecurity>
  <Lines>2597</Lines>
  <Paragraphs>1723</Paragraphs>
  <ScaleCrop>false</ScaleCrop>
  <HeadingPairs>
    <vt:vector size="2" baseType="variant">
      <vt:variant>
        <vt:lpstr>Title</vt:lpstr>
      </vt:variant>
      <vt:variant>
        <vt:i4>1</vt:i4>
      </vt:variant>
    </vt:vector>
  </HeadingPairs>
  <TitlesOfParts>
    <vt:vector size="1" baseType="lpstr">
      <vt:lpstr/>
    </vt:vector>
  </TitlesOfParts>
  <Company>Samdog</Company>
  <LinksUpToDate>false</LinksUpToDate>
  <CharactersWithSpaces>179231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Kelly;"Lucia Bercinskas";Bercinskas</dc:creator>
  <cp:lastModifiedBy>Jamie Morris</cp:lastModifiedBy>
  <cp:revision>2</cp:revision>
  <cp:lastPrinted>2019-03-26T22:54:00Z</cp:lastPrinted>
  <dcterms:created xsi:type="dcterms:W3CDTF">2019-07-15T04:31:00Z</dcterms:created>
  <dcterms:modified xsi:type="dcterms:W3CDTF">2019-07-15T04:31:00Z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A505171</vt:lpwstr>
  </property>
  <property fmtid="{D5CDD505-2E9C-101B-9397-08002B2CF9AE}" pid="4" name="Objective-Title">
    <vt:lpwstr>Foundation Standard final pilot version 24 April 2019</vt:lpwstr>
  </property>
  <property fmtid="{D5CDD505-2E9C-101B-9397-08002B2CF9AE}" pid="5" name="Objective-Comment">
    <vt:lpwstr>
    </vt:lpwstr>
  </property>
  <property fmtid="{D5CDD505-2E9C-101B-9397-08002B2CF9AE}" pid="6" name="Objective-CreationStamp">
    <vt:filetime>2019-04-23T23:45:33Z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2019-04-23T23:45:48Z</vt:filetime>
  </property>
  <property fmtid="{D5CDD505-2E9C-101B-9397-08002B2CF9AE}" pid="10" name="Objective-ModificationStamp">
    <vt:filetime>2019-04-23T23:45:48Z</vt:filetime>
  </property>
  <property fmtid="{D5CDD505-2E9C-101B-9397-08002B2CF9AE}" pid="11" name="Objective-Owner">
    <vt:lpwstr>Stephen Kelly</vt:lpwstr>
  </property>
  <property fmtid="{D5CDD505-2E9C-101B-9397-08002B2CF9AE}" pid="12" name="Objective-Path">
    <vt:lpwstr>Royal New Zealand College of General Practitioners:Quality:Cornerstone Review Project:Aiming for Excellence Standard:Aiming for Excellence Standard Draft:Foundation standard:</vt:lpwstr>
  </property>
  <property fmtid="{D5CDD505-2E9C-101B-9397-08002B2CF9AE}" pid="13" name="Objective-Parent">
    <vt:lpwstr>Foundation standard</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qA126879</vt:lpwstr>
  </property>
  <property fmtid="{D5CDD505-2E9C-101B-9397-08002B2CF9AE}" pid="19" name="Objective-Classification">
    <vt:lpwstr>[Inherited - none]</vt:lpwstr>
  </property>
  <property fmtid="{D5CDD505-2E9C-101B-9397-08002B2CF9AE}" pid="20" name="Objective-Caveats">
    <vt:lpwstr>
    </vt:lpwstr>
  </property>
</Properties>
</file>